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S1-3. Point estimates and draws from the sampling distribution for derived parameters from a mean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912"/>
        <w:gridCol w:w="1034"/>
        <w:gridCol w:w="180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1.930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620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2026-03-10T13:51:01Z</dcterms:modified>
  <cp:category/>
</cp:coreProperties>
</file>