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Compact"/>
        <w:numPr>
          <w:ilvl w:val="0"/>
          <w:numId w:val="1001"/>
        </w:numPr>
      </w:pPr>
      <w:r>
        <w:t xml:space="preserve">Analysis 3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2"/>
        </w:numPr>
      </w:pPr>
      <w:r>
        <w:t xml:space="preserve">Analysis 3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X673af67ed43224aff21550b61d48c598bc599d3"/>
    <w:p>
      <w:pPr>
        <w:pStyle w:val="Heading2"/>
      </w:pPr>
      <w:r>
        <w:t xml:space="preserve">S1.8 Study and species identities in analysis 1</w:t>
      </w:r>
    </w:p>
    <w:p>
      <w:pPr>
        <w:pStyle w:val="FirstParagraph"/>
      </w:pPr>
      <w:r>
        <w:t xml:space="preserve">Analysis 1 used a subset of the full compiled dataset: 68 population-level entries representing 25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7"/>
    <w:bookmarkStart w:id="28"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28"/>
    <w:bookmarkEnd w:id="29"/>
    <w:bookmarkStart w:id="31" w:name="supplementary-results"/>
    <w:p>
      <w:pPr>
        <w:pStyle w:val="Heading1"/>
      </w:pPr>
      <w:r>
        <w:t xml:space="preserve">Supplementary Results</w:t>
      </w:r>
    </w:p>
    <w:bookmarkStart w:id="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0"/>
    <w:bookmarkEnd w:id="31"/>
    <w:bookmarkStart w:id="32"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32"/>
    <w:bookmarkStart w:id="41" w:name="supplementary-figures"/>
    <w:p>
      <w:pPr>
        <w:pStyle w:val="Heading1"/>
      </w:pPr>
      <w:r>
        <w:t xml:space="preserve">Supplementary Figures</w:t>
      </w:r>
    </w:p>
    <w:p>
      <w:pPr>
        <w:pStyle w:val="CaptionedFigure"/>
      </w:pPr>
      <w:r>
        <w:drawing>
          <wp:inline>
            <wp:extent cx="5727700" cy="3665728"/>
            <wp:effectExtent b="0" l="0" r="0" t="0"/>
            <wp:docPr descr="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34" name="Picture"/>
            <a:graphic>
              <a:graphicData uri="http://schemas.openxmlformats.org/drawingml/2006/picture">
                <pic:pic>
                  <pic:nvPicPr>
                    <pic:cNvPr descr="../../figures/Figure_S1_boundary_estimate_diagnostic.png" id="35" name="Picture"/>
                    <pic:cNvPicPr>
                      <a:picLocks noChangeArrowheads="1" noChangeAspect="1"/>
                    </pic:cNvPicPr>
                  </pic:nvPicPr>
                  <pic:blipFill>
                    <a:blip r:embed="rId33"/>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36" w:name="fig:fig-boundary-1"/>
      <w:bookmarkEnd w:id="36"/>
      <w:r>
        <w:t xml:space="preserve">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2: Illustration of survivorship trajectories under boundary survival transitions. Age/time is shown in years. These cases can induce artefactual trajectory shapes and help explain mismatches between point estimates and uncertainty-aware summaries." title="" id="38" name="Picture"/>
            <a:graphic>
              <a:graphicData uri="http://schemas.openxmlformats.org/drawingml/2006/picture">
                <pic:pic>
                  <pic:nvPicPr>
                    <pic:cNvPr descr="../../figures/Figure_S2_boundary_survivorship_illustration.png" id="39" name="Picture"/>
                    <pic:cNvPicPr>
                      <a:picLocks noChangeArrowheads="1" noChangeAspect="1"/>
                    </pic:cNvPicPr>
                  </pic:nvPicPr>
                  <pic:blipFill>
                    <a:blip r:embed="rId37"/>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40" w:name="fig:fig-boundary-2"/>
      <w:bookmarkEnd w:id="40"/>
      <w:r>
        <w:t xml:space="preserve">Figure 2: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41"/>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2026-04-09T11:42:38Z</dcterms:created>
  <dcterms:modified xsi:type="dcterms:W3CDTF">2026-04-09T11:42:38Z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