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Override PartName="/word/media/rId99.png" ContentType="image/png"/>
  <Override PartName="/word/media/rId103.png" ContentType="image/png"/>
  <Override PartName="/word/media/rId107.png" ContentType="image/png"/>
  <Override PartName="/word/media/rId91.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17"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17"/>
    <w:bookmarkStart w:id="18"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18"/>
    <w:bookmarkStart w:id="20" w:name="corresponding-author"/>
    <w:p>
      <w:pPr>
        <w:pStyle w:val="Heading1"/>
      </w:pPr>
      <w:r>
        <w:t xml:space="preserve">Corresponding author</w:t>
      </w:r>
    </w:p>
    <w:p>
      <w:pPr>
        <w:pStyle w:val="FirstParagraph"/>
      </w:pPr>
      <w:r>
        <w:t xml:space="preserve">* Owen R. Jones,</w:t>
      </w:r>
      <w:r>
        <w:t xml:space="preserve"> </w:t>
      </w:r>
      <w:hyperlink r:id="rId19">
        <w:r>
          <w:rPr>
            <w:rStyle w:val="Hyperlink"/>
          </w:rPr>
          <w:t xml:space="preserve">jones@biology.sdu.dk</w:t>
        </w:r>
      </w:hyperlink>
    </w:p>
    <w:p>
      <w:r>
        <w:br w:type="page"/>
      </w:r>
    </w:p>
    <w:bookmarkEnd w:id="20"/>
    <w:bookmarkStart w:id="21"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with and without explicit sampling uncertainty: (i) a multi-species comparative analysis of life expectancy-shape relationships, (ii) a single-species time-series analysis of climate-demography effects, and (iii) a simulation study with known truth, each fit with and without explicit sampling uncertainty.</w:t>
      </w:r>
    </w:p>
    <w:p>
      <w:pPr>
        <w:numPr>
          <w:ilvl w:val="0"/>
          <w:numId w:val="1001"/>
        </w:numPr>
      </w:pPr>
      <w:r>
        <w:t xml:space="preserve">The effects of sampling uncertainty were strongly trait-dependent. Sampling uncertainty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 whereas the simulation study showed that point-estimate count models can become overconfident even when bias remains low.</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and overconfident interval estimates in count-based models.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1"/>
    <w:bookmarkStart w:id="22" w:name="introduction"/>
    <w:p>
      <w:pPr>
        <w:pStyle w:val="Heading1"/>
      </w:pPr>
      <w:r>
        <w:t xml:space="preserve">Introduction</w:t>
      </w:r>
    </w:p>
    <w:p>
      <w:pPr>
        <w:pStyle w:val="FirstParagraph"/>
      </w:pPr>
      <w:r>
        <w:t xml:space="preserve">Sampling uncertainty is a widely recognised, inherent component of demographic analyses (Caswell 2001). This uncertainty, stemming from the sampling of the population of interest, proliferates across almost all estimates of individual demographic rates (e.g. survival and reproduction), through studies based on raw data and single species, up to large comparative studies.</w:t>
      </w:r>
    </w:p>
    <w:p>
      <w:pPr>
        <w:pStyle w:val="BodyText"/>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population- or species-level quantities computed from matrix population models (MPMs). These span life-history traits such as generation time, transient descriptors such as reactivity, and integrated metrics such as population growth rate, through to traits governed by long-term survivorship or tail behaviour, such as life expectancy and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Large comparative analyses are not the only analysis that can be impacted by omission of sampling uncertainty. Another key area where sampling uncertainty could have a substantial impact is in linking demographic rates to abiotic drivers. When incorporating drivers, such as climate, in MPM studies researchers typically regress an annual demographic rate (e.g. recruitment) against a climate variable (e.g. spring temperature) to estimate how strongly climate drives dynamics. A key challenge with this approach is that the vital rate estimates in the regression are themselves noisy. In linear regression, independent, additive, mean-zero error in the response reduces precision but does not itself bias the slope towards zero. Its effects in models of demographic rates depend on the error structure and model formulation; whether explicitly accounting for sampling uncertainty materially changes climate-response inference is therefore an empirical question, which we address here.</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then using these parameter estimates, which themselves carry sampling uncertainty inherited from the underlying transition rates, or further derivations of them, as inputs to a statistical model that tests the relationship of interest. Uncertainty must therefore propagate along a chain, from the sampled transition rates, through the derived parameters, to the final inference.</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combine a comparative analysis of lifetime-integrating traits across populations and species (analysis 1), a within-species analysis of climate effects on demographic rates (analysis 2), and a simulation assessing estimation bias and interval coverage against known climate effects (analysis 3). A multisite extension of analysis 2 using</w:t>
      </w:r>
      <w:r>
        <w:t xml:space="preserve"> </w:t>
      </w:r>
      <w:r>
        <w:rPr>
          <w:i/>
          <w:iCs/>
        </w:rPr>
        <w:t xml:space="preserve">Astragalus scaphoides</w:t>
      </w:r>
      <w:r>
        <w:t xml:space="preserve"> </w:t>
      </w:r>
      <w:r>
        <w:t xml:space="preserve">provides a supplementary robustness check. The focal quantities are mature life expectancy, the shape of the mortality trajectory, log population growth rate, and recruitment-climate regression coefficients. Because COMPADRE does not routinely include transition-level sample sizes, our empirical analyses are restricted to the subset for which these data could be assembled (695 MPMs from 31 studies; details in Methods). We use these analyses to identify diagnostic features that help researchers assess robustness in their own work. We also provide a practical diagnostic checklist for COMPADRE users.</w:t>
      </w:r>
    </w:p>
    <w:bookmarkEnd w:id="22"/>
    <w:bookmarkStart w:id="32" w:name="methods"/>
    <w:p>
      <w:pPr>
        <w:pStyle w:val="Heading1"/>
      </w:pPr>
      <w:r>
        <w:t xml:space="preserve">Methods</w:t>
      </w:r>
    </w:p>
    <w:bookmarkStart w:id="23"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 “mean MPM” calculated as an element-by-element arithmetic mean across multiple years and/or sites.</w:t>
      </w:r>
    </w:p>
    <w:bookmarkEnd w:id="23"/>
    <w:bookmarkStart w:id="24" w:name="target-studies"/>
    <w:p>
      <w:pPr>
        <w:pStyle w:val="Heading2"/>
      </w:pPr>
      <w:r>
        <w:t xml:space="preserve">Target studies</w:t>
      </w:r>
    </w:p>
    <w:p>
      <w:pPr>
        <w:pStyle w:val="FirstParagraph"/>
      </w:pPr>
      <w:r>
        <w:t xml:space="preserve">We used an earlier version of COMPADRE to define a target-study screen based on the following criteria: studies published from 2010 onwards; species of common perennial growth forms (herbaceous, shrub, tree, palm, and succulent); wild populations not subjected to experimental treatments; and MPMs with three or more stage classes and a one-year projection interval. Re-running that screen with COMPADRE version 6.26.3.0 (created Mar_11_2026) yields 92 post-2010 target studies. Of these, 23 are represented in the current final dataset used here; most exclusions reflected insufficient reporting of transition-specific sample sizes, and a small number used estimation methods incompatible with our bootstrapping approach (e.g. mark-recapture or multi-stage vital rate products). Three additional post-2010 studies in the final dataset (</w:t>
      </w:r>
      <w:r>
        <w:rPr>
          <w:i/>
          <w:iCs/>
        </w:rPr>
        <w:t xml:space="preserve">Paeonia officinalis</w:t>
      </w:r>
      <w:r>
        <w:t xml:space="preserve">,</w:t>
      </w:r>
      <w:r>
        <w:t xml:space="preserve"> </w:t>
      </w:r>
      <w:r>
        <w:rPr>
          <w:i/>
          <w:iCs/>
        </w:rPr>
        <w:t xml:space="preserve">Tillandsia butzii</w:t>
      </w:r>
      <w:r>
        <w:t xml:space="preserve">, and</w:t>
      </w:r>
      <w:r>
        <w:t xml:space="preserve"> </w:t>
      </w:r>
      <w:r>
        <w:rPr>
          <w:i/>
          <w:iCs/>
        </w:rPr>
        <w:t xml:space="preserve">Lantana camara</w:t>
      </w:r>
      <w:r>
        <w:t xml:space="preserve">) no longer satisfy the current metadata-based screen, and we also retained 5 pre-2010 studies that had previously been assembled on the basis of temporal replication (at least 4 annual matrices). The requirement of at least 4 annual matrices applied only to the 5 pre-2010 studies added to support the time-series analyses; it was not a selection criterion for the full 31-study dataset used across all analyses. Within the reproducible post-2010 screen, included and excluded studies were broadly similar in matrix dimension, dominant life form, and mean stage-specific survival, but included studies had a higher mean proportion of boundary survival estimates, especially estimates of exactly 1 (Table S11). This over-representation may favour detection of boundary-related sensitivity and limits generalisation to all screened studies. The 23 screen-overlapping studies yielded 374 MPMs for 84 populations of 24 species; the final dataset comprised 31 studies representing 695 MPMs for 132 populations of 30 species.</w:t>
      </w:r>
    </w:p>
    <w:bookmarkEnd w:id="24"/>
    <w:bookmarkStart w:id="25"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r>
            <m:rPr>
              <m:sty m:val="p"/>
            </m:rPr>
            <m:t>(</m:t>
          </m:r>
          <m:r>
            <m:t>1</m:t>
          </m:r>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r>
            <m:rPr>
              <m:sty m:val="p"/>
            </m:rPr>
            <m:t>(</m:t>
          </m:r>
          <m:r>
            <m:t>2</m:t>
          </m:r>
          <m:r>
            <m:rPr>
              <m:sty m:val="p"/>
            </m:rPr>
            <m:t>)</m:t>
          </m:r>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p>
      <w:pPr>
        <w:pStyle w:val="BodyText"/>
      </w:pPr>
      <w:r>
        <w:t xml:space="preserve">In such models, uncertainty may differ from the simple count-based setting considered here. Partial pooling in hierarchical vital-rate models, IPMs, or related formulations will often reduce the variance of weakly informed transition estimates, but may also induce stronger correlations across transitions; in those cases, uncertainty should ideally be propagated from the joint posterior of the fitted vital-rate model rather than by treating transition estimates as independent. Our reconstructions therefore approximate the uncertainty available to a secondary user of the published matrix and accompanying sample-size information, rather than the full joint uncertainty from the original fitted model.</w:t>
      </w:r>
    </w:p>
    <w:bookmarkEnd w:id="25"/>
    <w:bookmarkStart w:id="26"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Use of a Poisson distribution for fecundity might under-capture overdispersion in species with highly variable fecundity.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6"/>
    <w:bookmarkStart w:id="31"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27"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 ‘B’;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denotes death as the complementary non-survival outcome for that origin stage. In the implemented bootstrap, death is resampled jointly with the living transitions in each</w:t>
      </w:r>
      <w:r>
        <w:t xml:space="preserve"> </w:t>
      </w:r>
      <m:oMath>
        <m:r>
          <m:t>U</m:t>
        </m:r>
      </m:oMath>
      <w:r>
        <w:t xml:space="preserve">-column, but only the living-stage components are written back into the simulated</w:t>
      </w:r>
      <w:r>
        <w:t xml:space="preserve"> </w:t>
      </w:r>
      <m:oMath>
        <m:r>
          <m:t>U</m:t>
        </m:r>
      </m:oMath>
      <w:r>
        <w:t xml:space="preserve"> </w:t>
      </w:r>
      <w:r>
        <w:t xml:space="preserve">matrix.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r>
            <m:rPr>
              <m:sty m:val="p"/>
            </m:rPr>
            <m:t>(</m:t>
          </m:r>
          <m:r>
            <m:t>12</m:t>
          </m:r>
          <m:r>
            <m:rPr>
              <m:sty m:val="p"/>
            </m:rPr>
            <m:t>,</m:t>
          </m:r>
          <m:r>
            <m:t>2</m:t>
          </m:r>
          <m:r>
            <m:rPr>
              <m:sty m:val="p"/>
            </m:rPr>
            <m:t>)</m:t>
          </m:r>
          <m:r>
            <m:rPr>
              <m:sty m:val="p"/>
            </m:rPr>
            <m:t>∼</m:t>
          </m:r>
          <m:r>
            <m:rPr>
              <m:nor/>
              <m:sty m:val="p"/>
            </m:rPr>
            <m:t>Multinomial</m:t>
          </m:r>
          <m:r>
            <m:rPr>
              <m:sty m:val="p"/>
            </m:rPr>
            <m:t>(</m:t>
          </m:r>
          <m:sSub>
            <m:e>
              <m:r>
                <m:t>U</m:t>
              </m:r>
            </m:e>
            <m:sub>
              <m:r>
                <m:t>21</m:t>
              </m:r>
            </m:sub>
          </m:sSub>
          <m:r>
            <m:rPr>
              <m:sty m:val="p"/>
            </m:rPr>
            <m:t>,</m:t>
          </m:r>
          <m:sSub>
            <m:e>
              <m:r>
                <m:t>U</m:t>
              </m:r>
            </m:e>
            <m:sub>
              <m:r>
                <m:t>d</m:t>
              </m:r>
              <m:r>
                <m:t>1</m:t>
              </m:r>
            </m:sub>
          </m:sSub>
          <m:r>
            <m:rPr>
              <m:sty m:val="p"/>
            </m:rPr>
            <m:t>)</m:t>
          </m:r>
          <m:r>
            <m:rPr>
              <m:sty m:val="p"/>
            </m:rPr>
            <m:t>,</m:t>
          </m:r>
        </m:oMath>
      </m:oMathPara>
    </w:p>
    <w:p>
      <w:pPr>
        <w:pStyle w:val="FirstParagraph"/>
      </w:pPr>
      <m:oMathPara>
        <m:oMathParaPr>
          <m:jc m:val="center"/>
        </m:oMathParaPr>
        <m:oMath>
          <m:r>
            <m:rPr>
              <m:sty m:val="p"/>
            </m:rPr>
            <m:t>(</m:t>
          </m:r>
          <m:r>
            <m:t>14</m:t>
          </m:r>
          <m:r>
            <m:rPr>
              <m:sty m:val="p"/>
            </m:rPr>
            <m:t>,</m:t>
          </m:r>
          <m:r>
            <m:t>1</m:t>
          </m:r>
          <m:r>
            <m:rPr>
              <m:sty m:val="p"/>
            </m:rPr>
            <m:t>,</m:t>
          </m:r>
          <m:r>
            <m:t>3</m:t>
          </m:r>
          <m:r>
            <m:rPr>
              <m:sty m:val="p"/>
            </m:rPr>
            <m:t>)</m:t>
          </m:r>
          <m:r>
            <m:rPr>
              <m:sty m:val="p"/>
            </m:rPr>
            <m:t>∼</m:t>
          </m:r>
          <m:r>
            <m:rPr>
              <m:nor/>
              <m:sty m:val="p"/>
            </m:rPr>
            <m:t>Multinomial</m:t>
          </m:r>
          <m:r>
            <m:rPr>
              <m:sty m:val="p"/>
            </m:rPr>
            <m:t>(</m:t>
          </m:r>
          <m:sSub>
            <m:e>
              <m:r>
                <m:t>U</m:t>
              </m:r>
            </m:e>
            <m:sub>
              <m:r>
                <m:t>22</m:t>
              </m:r>
            </m:sub>
          </m:sSub>
          <m:r>
            <m:rPr>
              <m:sty m:val="p"/>
            </m:rPr>
            <m:t>,</m:t>
          </m:r>
          <m:sSub>
            <m:e>
              <m:r>
                <m:t>U</m:t>
              </m:r>
            </m:e>
            <m:sub>
              <m:r>
                <m:t>32</m:t>
              </m:r>
            </m:sub>
          </m:sSub>
          <m:r>
            <m:rPr>
              <m:sty m:val="p"/>
            </m:rPr>
            <m:t>,</m:t>
          </m:r>
          <m:sSub>
            <m:e>
              <m:r>
                <m:t>U</m:t>
              </m:r>
            </m:e>
            <m:sub>
              <m:r>
                <m:t>d</m:t>
              </m:r>
              <m:r>
                <m:t>2</m:t>
              </m:r>
            </m:sub>
          </m:sSub>
          <m:r>
            <m:rPr>
              <m:sty m:val="p"/>
            </m:rPr>
            <m:t>)</m:t>
          </m:r>
          <m:r>
            <m:rPr>
              <m:sty m:val="p"/>
            </m:rPr>
            <m:t>,</m:t>
          </m:r>
        </m:oMath>
      </m:oMathPara>
    </w:p>
    <w:p>
      <w:pPr>
        <w:pStyle w:val="FirstParagraph"/>
      </w:pPr>
      <m:oMathPara>
        <m:oMathParaPr>
          <m:jc m:val="center"/>
        </m:oMathParaPr>
        <m:oMath>
          <m:r>
            <m:rPr>
              <m:sty m:val="p"/>
            </m:rPr>
            <m:t>(</m:t>
          </m:r>
          <m:r>
            <m:t>6</m:t>
          </m:r>
          <m:r>
            <m:rPr>
              <m:sty m:val="p"/>
            </m:rPr>
            <m:t>,</m:t>
          </m:r>
          <m:r>
            <m:t>2</m:t>
          </m:r>
          <m:r>
            <m:rPr>
              <m:sty m:val="p"/>
            </m:rPr>
            <m:t>,</m:t>
          </m:r>
          <m:r>
            <m:t>1</m:t>
          </m:r>
          <m:r>
            <m:rPr>
              <m:sty m:val="p"/>
            </m:rPr>
            <m:t>)</m:t>
          </m:r>
          <m:r>
            <m:rPr>
              <m:sty m:val="p"/>
            </m:rPr>
            <m:t>∼</m:t>
          </m:r>
          <m:r>
            <m:rPr>
              <m:nor/>
              <m:sty m:val="p"/>
            </m:rPr>
            <m:t>Multinomial</m:t>
          </m:r>
          <m:r>
            <m:rPr>
              <m:sty m:val="p"/>
            </m:rPr>
            <m:t>(</m:t>
          </m:r>
          <m:sSub>
            <m:e>
              <m:r>
                <m:t>U</m:t>
              </m:r>
            </m:e>
            <m:sub>
              <m:r>
                <m:t>33</m:t>
              </m:r>
            </m:sub>
          </m:sSub>
          <m:r>
            <m:rPr>
              <m:sty m:val="p"/>
            </m:rPr>
            <m:t>,</m:t>
          </m:r>
          <m:sSub>
            <m:e>
              <m:r>
                <m:t>U</m:t>
              </m:r>
            </m:e>
            <m:sub>
              <m:r>
                <m:t>43</m:t>
              </m:r>
            </m:sub>
          </m:sSub>
          <m:r>
            <m:rPr>
              <m:sty m:val="p"/>
            </m:rPr>
            <m:t>,</m:t>
          </m:r>
          <m:sSub>
            <m:e>
              <m:r>
                <m:t>U</m:t>
              </m:r>
            </m:e>
            <m:sub>
              <m:r>
                <m:t>d</m:t>
              </m:r>
              <m:r>
                <m:t>3</m:t>
              </m:r>
            </m:sub>
          </m:sSub>
          <m:r>
            <m:rPr>
              <m:sty m:val="p"/>
            </m:rPr>
            <m:t>)</m:t>
          </m:r>
          <m:r>
            <m:rPr>
              <m:sty m:val="p"/>
            </m:rPr>
            <m:t>,</m:t>
          </m:r>
        </m:oMath>
      </m:oMathPara>
    </w:p>
    <w:p>
      <w:pPr>
        <w:pStyle w:val="FirstParagraph"/>
      </w:pPr>
      <m:oMathPara>
        <m:oMathParaPr>
          <m:jc m:val="center"/>
        </m:oMathParaPr>
        <m:oMath>
          <m:r>
            <m:rPr>
              <m:sty m:val="p"/>
            </m:rPr>
            <m:t>(</m:t>
          </m:r>
          <m:r>
            <m:t>13</m:t>
          </m:r>
          <m:r>
            <m:rPr>
              <m:sty m:val="p"/>
            </m:rPr>
            <m:t>,</m:t>
          </m:r>
          <m:r>
            <m:t>33</m:t>
          </m:r>
          <m:r>
            <m:rPr>
              <m:sty m:val="p"/>
            </m:rPr>
            <m:t>,</m:t>
          </m:r>
          <m:r>
            <m:t>1</m:t>
          </m:r>
          <m:r>
            <m:rPr>
              <m:sty m:val="p"/>
            </m:rPr>
            <m:t>)</m:t>
          </m:r>
          <m:r>
            <m:rPr>
              <m:sty m:val="p"/>
            </m:rPr>
            <m:t>∼</m:t>
          </m:r>
          <m:r>
            <m:rPr>
              <m:nor/>
              <m:sty m:val="p"/>
            </m:rPr>
            <m:t>Multinomial</m:t>
          </m:r>
          <m:r>
            <m:rPr>
              <m:sty m:val="p"/>
            </m:rPr>
            <m:t>(</m:t>
          </m:r>
          <m:sSub>
            <m:e>
              <m:r>
                <m:t>U</m:t>
              </m:r>
            </m:e>
            <m:sub>
              <m:r>
                <m:t>34</m:t>
              </m:r>
            </m:sub>
          </m:sSub>
          <m:r>
            <m:rPr>
              <m:sty m:val="p"/>
            </m:rPr>
            <m:t>,</m:t>
          </m:r>
          <m:sSub>
            <m:e>
              <m:r>
                <m:t>U</m:t>
              </m:r>
            </m:e>
            <m:sub>
              <m:r>
                <m:t>44</m:t>
              </m:r>
            </m:sub>
          </m:sSub>
          <m:r>
            <m:rPr>
              <m:sty m:val="p"/>
            </m:rPr>
            <m:t>,</m:t>
          </m:r>
          <m:sSub>
            <m:e>
              <m:r>
                <m:t>U</m:t>
              </m:r>
            </m:e>
            <m:sub>
              <m:r>
                <m:t>d</m:t>
              </m:r>
              <m:r>
                <m:t>4</m:t>
              </m:r>
            </m:sub>
          </m:sSub>
          <m:r>
            <m:rPr>
              <m:sty m:val="p"/>
            </m:rPr>
            <m:t>)</m:t>
          </m:r>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t>47</m:t>
              </m:r>
              <m:sSub>
                <m:e>
                  <m:r>
                    <m:t>F</m:t>
                  </m:r>
                </m:e>
                <m:sub>
                  <m:r>
                    <m:t>14</m:t>
                  </m:r>
                </m:sub>
              </m:sSub>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is a simulation study with known truth, designed to test whether the apparent robustness in Analysis 2 generalises: specifically, whether accounting for sampling uncertainty improves estimation bias and interval calibration across a factorial range of effect sizes and sample sizes. Together, the three analyses bracket a range of typical uses of published MPMs and allow us to ask whether the consequences of sampling uncertainty are consistent across contexts or depend on the nature of the analysis.</w:t>
      </w:r>
    </w:p>
    <w:bookmarkEnd w:id="27"/>
    <w:bookmarkStart w:id="28"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 “shape” 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r>
            <m:rPr>
              <m:sty m:val="p"/>
            </m:rPr>
            <m:t>(</m:t>
          </m:r>
          <m:r>
            <m:t>3</m:t>
          </m:r>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Thus, more positive values indicate that mortality is concentrated later in adult life, whereas more negative values indicate that mortality is concentrated earlier in adult life.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sections S1.2 and S1.13).</w:t>
      </w:r>
    </w:p>
    <w:p>
      <w:pPr>
        <w:pStyle w:val="BodyText"/>
      </w:pPr>
      <w:r>
        <w:t xml:space="preserve">We calculated life expectancy and shape at the population level, using one population-level MPM per population. For populations with temporal replication, we used a pooled population MPM if available (i.e. a matrix constructed by pooling individual-level demographic information across periods and/or populations); otherwise, we used a population mean MPM if available (i.e. an element-by-element arithmetic mean across annual matrices); if neither was available, we constructed a population-level matrix by taking the element-wise mean of the available annual</w:t>
      </w:r>
      <w:r>
        <w:t xml:space="preserve"> </w:t>
      </w:r>
      <w:r>
        <w:rPr>
          <w:rStyle w:val="VerbatimChar"/>
        </w:rPr>
        <w:t xml:space="preserve">Individual</w:t>
      </w:r>
      <w:r>
        <w:t xml:space="preserve"> </w:t>
      </w:r>
      <w:r>
        <w:t xml:space="preserve">matrices in COMPADRE.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Across the compiled analysis set, 5 population-level matrices (representing 5 populations) had no usable recovered stage-specific sample sizes at all and therefore could not contribute to uncertainty-propagation analyses that require reconstructed sampling distributions.</w:t>
      </w:r>
    </w:p>
    <w:p>
      <w:pPr>
        <w:pStyle w:val="BodyText"/>
      </w:pPr>
      <w:r>
        <w:t xml:space="preserve">Our uncertainty-propagation workflow used recovered stage-specific or transition-specific sample sizes; total estimated population size was not systematically available across the included studies and was not used in the analyses.</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4</m:t>
          </m:r>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r>
          <m:rPr>
            <m:sty m:val="p"/>
          </m:rPr>
          <m:t>(</m:t>
        </m:r>
        <m:sSub>
          <m:e>
            <m:r>
              <m:t>μ</m:t>
            </m:r>
          </m:e>
          <m:sub>
            <m:r>
              <m:t>α</m:t>
            </m:r>
          </m:sub>
        </m:sSub>
        <m:r>
          <m:rPr>
            <m:sty m:val="p"/>
          </m:rPr>
          <m:t>,</m:t>
        </m:r>
        <m:sSup>
          <m:e>
            <m:r>
              <m:t>τ</m:t>
            </m:r>
          </m:e>
          <m:sup>
            <m:r>
              <m:t>2</m:t>
            </m:r>
          </m:sup>
        </m:sSup>
        <m:r>
          <m:rPr>
            <m:sty m:val="p"/>
          </m:rPr>
          <m:t>)</m:t>
        </m:r>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r>
            <m:rPr>
              <m:sty m:val="p"/>
            </m:rPr>
            <m:t>(</m:t>
          </m:r>
          <m:sSub>
            <m:e>
              <m:r>
                <m:t>x</m:t>
              </m:r>
            </m:e>
            <m:sub>
              <m:r>
                <m:t>i</m:t>
              </m:r>
              <m:r>
                <m:t>j</m:t>
              </m:r>
            </m:sub>
          </m:sSub>
          <m:r>
            <m:rPr>
              <m:sty m:val="p"/>
            </m:rPr>
            <m:t>,</m:t>
          </m:r>
          <m:sSubSup>
            <m:e>
              <m:r>
                <m:t>σ</m:t>
              </m:r>
            </m:e>
            <m:sub>
              <m:r>
                <m:t>x</m:t>
              </m:r>
              <m:r>
                <m:rPr>
                  <m:sty m:val="p"/>
                </m:rPr>
                <m:t>,</m:t>
              </m:r>
              <m:r>
                <m:t>i</m:t>
              </m:r>
              <m:r>
                <m:t>j</m:t>
              </m:r>
            </m:sub>
            <m:sup>
              <m:r>
                <m:t>2</m:t>
              </m:r>
            </m:sup>
          </m:sSubSup>
          <m:r>
            <m:rPr>
              <m:sty m:val="p"/>
            </m:rPr>
            <m:t>)</m:t>
          </m:r>
          <m:r>
            <m:rPr>
              <m:sty m:val="p"/>
            </m:rPr>
            <m:t>,</m:t>
          </m:r>
          <m:r>
            <m:t>  </m:t>
          </m:r>
          <m:r>
            <m:rPr>
              <m:sty m:val="p"/>
            </m:rPr>
            <m:t>(</m:t>
          </m:r>
          <m:r>
            <m:t>6</m:t>
          </m:r>
          <m:r>
            <m:rPr>
              <m:sty m:val="p"/>
            </m:rPr>
            <m:t>)</m:t>
          </m:r>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r>
            <m:rPr>
              <m:sty m:val="p"/>
            </m:rPr>
            <m:t>(</m:t>
          </m:r>
          <m:sSub>
            <m:e>
              <m:r>
                <m:t>y</m:t>
              </m:r>
            </m:e>
            <m:sub>
              <m:r>
                <m:t>i</m:t>
              </m:r>
              <m:r>
                <m:t>j</m:t>
              </m:r>
            </m:sub>
          </m:sSub>
          <m:r>
            <m:rPr>
              <m:sty m:val="p"/>
            </m:rPr>
            <m:t>,</m:t>
          </m:r>
          <m:sSubSup>
            <m:e>
              <m:r>
                <m:t>σ</m:t>
              </m:r>
            </m:e>
            <m:sub>
              <m:r>
                <m:t>y</m:t>
              </m:r>
              <m:r>
                <m:rPr>
                  <m:sty m:val="p"/>
                </m:rPr>
                <m:t>,</m:t>
              </m:r>
              <m:r>
                <m:t>i</m:t>
              </m:r>
              <m:r>
                <m:t>j</m:t>
              </m:r>
            </m:sub>
            <m:sup>
              <m:r>
                <m:t>2</m:t>
              </m:r>
            </m:sup>
          </m:sSubSup>
          <m:r>
            <m:rPr>
              <m:sty m:val="p"/>
            </m:rPr>
            <m:t>)</m:t>
          </m:r>
          <m:r>
            <m:rPr>
              <m:sty m:val="p"/>
            </m:rPr>
            <m:t>.</m:t>
          </m:r>
          <m:r>
            <m:t>  </m:t>
          </m:r>
          <m:r>
            <m:rPr>
              <m:sty m:val="p"/>
            </m:rPr>
            <m:t>(</m:t>
          </m:r>
          <m:r>
            <m:t>7</m:t>
          </m:r>
          <m:r>
            <m:rPr>
              <m:sty m:val="p"/>
            </m:rPr>
            <m:t>)</m:t>
          </m:r>
        </m:oMath>
      </m:oMathPara>
    </w:p>
    <w:p>
      <w:pPr>
        <w:pStyle w:val="FirstParagraph"/>
      </w:pPr>
      <w:r>
        <w:t xml:space="preserve">For these models, we used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Table</w:t>
      </w:r>
      <w:r>
        <w:t xml:space="preserve"> </w:t>
      </w:r>
      <w:r>
        <w:t xml:space="preserve">1</w:t>
      </w:r>
      <w:r>
        <w:t xml:space="preserve">.</w:t>
      </w:r>
    </w:p>
    <w:bookmarkEnd w:id="28"/>
    <w:bookmarkStart w:id="29"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(PRISM data extracted at the geographic coordinates of the study population and matched in time to the demographic observations),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 “rosette” stage class (i.e. no rosettes were observed in the sample plots). Instead of examining variation in population growth rates (which assumes ergodicity), we focus on the reproductive transition (hereafter ‘recruitment’,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and survival.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Any robustness in this analysis would therefore reflect properties of aggregate reproductive transitions under moderate sample sizes, and should not be taken to imply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r>
            <m:rPr>
              <m:sty m:val="p"/>
            </m:rPr>
            <m:t>(</m:t>
          </m:r>
          <m:sSub>
            <m:e>
              <m:r>
                <m:t>y</m:t>
              </m:r>
            </m:e>
            <m:sub>
              <m:r>
                <m:t>t</m:t>
              </m:r>
            </m:sub>
          </m:sSub>
          <m:r>
            <m:rPr>
              <m:sty m:val="p"/>
            </m:rPr>
            <m:t>)</m:t>
          </m:r>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rPr>
              <m:sty m:val="p"/>
            </m:rPr>
            <m:t>,</m:t>
          </m:r>
          <m:r>
            <m:t>  </m:t>
          </m:r>
          <m:r>
            <m:rPr>
              <m:sty m:val="p"/>
            </m:rPr>
            <m:t>(</m:t>
          </m:r>
          <m:r>
            <m:t>8</m:t>
          </m:r>
          <m:r>
            <m:rPr>
              <m:sty m:val="p"/>
            </m:rPr>
            <m:t>)</m:t>
          </m:r>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i"/>
            </m:rPr>
            <m:t>K</m:t>
          </m:r>
          <m:r>
            <m:rPr>
              <m:sty m:val="p"/>
            </m:rPr>
            <m:t>)</m:t>
          </m:r>
          <m:r>
            <m:rPr>
              <m:sty m:val="p"/>
            </m:rPr>
            <m:t>,</m:t>
          </m:r>
          <m:r>
            <m:t>  </m:t>
          </m:r>
          <m:r>
            <m:rPr>
              <m:sty m:val="p"/>
            </m:rPr>
            <m:t>(</m:t>
          </m:r>
          <m:r>
            <m:t>9</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rPr>
              <m:sty m:val="p"/>
            </m:rPr>
            <m:t>,</m:t>
          </m:r>
          <m:r>
            <m:t>  </m:t>
          </m:r>
          <m:r>
            <m:rPr>
              <m:sty m:val="p"/>
            </m:rPr>
            <m:t>(</m:t>
          </m:r>
          <m:r>
            <m:t>10</m:t>
          </m:r>
          <m:r>
            <m:rPr>
              <m:sty m:val="p"/>
            </m:rPr>
            <m:t>)</m:t>
          </m:r>
        </m:oMath>
      </m:oMathPara>
    </w:p>
    <w:p>
      <w:pPr>
        <w:pStyle w:val="FirstParagraph"/>
      </w:pPr>
      <w:r>
        <w:t xml:space="preserve">respectively, 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i"/>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r>
          <m:rPr>
            <m:sty m:val="p"/>
          </m:rPr>
          <m:t>(</m:t>
        </m:r>
        <m:sSub>
          <m:e>
            <m:r>
              <m:t>N</m:t>
            </m:r>
          </m:e>
          <m:sub>
            <m:r>
              <m:t>t</m:t>
            </m:r>
            <m:r>
              <m:rPr>
                <m:sty m:val="p"/>
              </m:rPr>
              <m:t>−</m:t>
            </m:r>
            <m:r>
              <m:t>1</m:t>
            </m:r>
          </m:sub>
        </m:sSub>
        <m:r>
          <m:rPr>
            <m:sty m:val="p"/>
          </m:rPr>
          <m:t>)</m:t>
        </m:r>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 Accordingly, we model seedling counts as</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rPr>
              <m:sty m:val="p"/>
            </m:rPr>
            <m:t>,</m:t>
          </m:r>
          <m:r>
            <m:t>  </m:t>
          </m:r>
          <m:r>
            <m:rPr>
              <m:sty m:val="p"/>
            </m:rPr>
            <m:t>(</m:t>
          </m:r>
          <m:r>
            <m:t>11</m:t>
          </m:r>
          <m:r>
            <m:rPr>
              <m:sty m:val="p"/>
            </m:rPr>
            <m:t>)</m:t>
          </m:r>
        </m:oMath>
      </m:oMathPara>
    </w:p>
    <w:p>
      <w:pPr>
        <w:pStyle w:val="FirstParagraph"/>
      </w:pPr>
      <w:r>
        <w:t xml:space="preserve">and year-specific intercepts as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r>
                <m:rPr>
                  <m:sty m:val="p"/>
                </m:rPr>
                <m:t>(</m:t>
              </m:r>
              <m:sSub>
                <m:e>
                  <m:r>
                    <m:t>N</m:t>
                  </m:r>
                </m:e>
                <m:sub>
                  <m:r>
                    <m:t>t</m:t>
                  </m:r>
                  <m:r>
                    <m:rPr>
                      <m:sty m:val="p"/>
                    </m:rPr>
                    <m:t>−</m:t>
                  </m:r>
                  <m:r>
                    <m:t>1</m:t>
                  </m:r>
                </m:sub>
              </m:sSub>
              <m:r>
                <m:rPr>
                  <m:sty m:val="p"/>
                </m:rPr>
                <m:t>)</m:t>
              </m:r>
              <m:r>
                <m:rPr>
                  <m:sty m:val="p"/>
                </m:rPr>
                <m:t>,</m:t>
              </m:r>
              <m:sSubSup>
                <m:e>
                  <m:r>
                    <m:t>σ</m:t>
                  </m:r>
                </m:e>
                <m:sub>
                  <m:r>
                    <m:t>α</m:t>
                  </m:r>
                </m:sub>
                <m:sup>
                  <m:r>
                    <m:t>2</m:t>
                  </m:r>
                </m:sup>
              </m:sSubSup>
            </m:e>
          </m:d>
          <m:r>
            <m:rPr>
              <m:sty m:val="p"/>
            </m:rPr>
            <m:t>.</m:t>
          </m:r>
          <m:r>
            <m:t>  </m:t>
          </m:r>
          <m:r>
            <m:rPr>
              <m:sty m:val="p"/>
            </m:rPr>
            <m:t>(</m:t>
          </m:r>
          <m:r>
            <m:t>12</m:t>
          </m:r>
          <m:r>
            <m:rPr>
              <m:sty m:val="p"/>
            </m:rPr>
            <m:t>)</m:t>
          </m:r>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r>
          <m:rPr>
            <m:sty m:val="p"/>
          </m:rPr>
          <m:t>(</m:t>
        </m:r>
        <m:sSub>
          <m:e>
            <m:acc>
              <m:accPr>
                <m:chr m:val="̂"/>
              </m:accPr>
              <m:e>
                <m:r>
                  <m:t>r</m:t>
                </m:r>
              </m:e>
            </m:acc>
          </m:e>
          <m:sub>
            <m:r>
              <m:t>t</m:t>
            </m:r>
          </m:sub>
        </m:sSub>
        <m:r>
          <m:rPr>
            <m:sty m:val="p"/>
          </m:rPr>
          <m:t>)</m:t>
        </m:r>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We used the same coefficient prior and covariance structure (Eqs. (13) and (14)):</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i"/>
            </m:rPr>
            <m:t>K</m:t>
          </m:r>
          <m:r>
            <m:rPr>
              <m:sty m:val="p"/>
            </m:rPr>
            <m:t>)</m:t>
          </m:r>
          <m:r>
            <m:rPr>
              <m:sty m:val="p"/>
            </m:rPr>
            <m:t>,</m:t>
          </m:r>
          <m:r>
            <m:t>  </m:t>
          </m:r>
          <m:r>
            <m:rPr>
              <m:sty m:val="p"/>
            </m:rPr>
            <m:t>(</m:t>
          </m:r>
          <m:r>
            <m:t>13</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rPr>
              <m:sty m:val="p"/>
            </m:rPr>
            <m:t>,</m:t>
          </m:r>
          <m:r>
            <m:t>  </m:t>
          </m:r>
          <m:r>
            <m:rPr>
              <m:sty m:val="p"/>
            </m:rPr>
            <m:t>(</m:t>
          </m:r>
          <m:r>
            <m:t>14</m:t>
          </m:r>
          <m:r>
            <m:rPr>
              <m:sty m:val="p"/>
            </m:rPr>
            <m:t>)</m:t>
          </m:r>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formulations on the logit scale: an SSD-weighted quasibinomial GLM for point estimates (</w:t>
      </w:r>
      <m:oMath>
        <m:r>
          <m:rPr>
            <m:nor/>
            <m:scr m:val="monospace"/>
            <m:sty m:val="p"/>
          </m:rPr>
          <m:t>surv</m:t>
        </m:r>
        <m:r>
          <m:rPr>
            <m:sty m:val="p"/>
          </m:rPr>
          <m:t>∼</m:t>
        </m:r>
        <m:r>
          <m:rPr>
            <m:nor/>
            <m:scr m:val="monospace"/>
            <m:sty m:val="p"/>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These formulations differ in weighting and dispersion assumptions as well as their use of sample sizes, so their comparison does not isolate sampling uncertainty. Full implementation details are provided in Supplementary Methods sections S1.6 and S1.10.</w:t>
      </w:r>
    </w:p>
    <w:bookmarkEnd w:id="29"/>
    <w:bookmarkStart w:id="30" w:name="Xbcefed090b6f5aec8f7c246135f8631e1a55520"/>
    <w:p>
      <w:pPr>
        <w:pStyle w:val="Heading3"/>
      </w:pPr>
      <w:r>
        <w:t xml:space="preserve">Analysis 3: Simulation study of climate effects on fecundity</w:t>
      </w:r>
    </w:p>
    <w:p>
      <w:pPr>
        <w:pStyle w:val="FirstParagraph"/>
      </w:pPr>
      <w:r>
        <w:t xml:space="preserve">To evaluate the effect of sampling uncertainty under known truth, we simulated annual recruitment time series from a realistic four-stage Lefkovitch MPM generated with</w:t>
      </w:r>
      <w:r>
        <w:t xml:space="preserve"> </w:t>
      </w:r>
      <w:r>
        <w:rPr>
          <w:rStyle w:val="VerbatimChar"/>
        </w:rPr>
        <w:t xml:space="preserve">mpmsim::rand_lefko_mpm()</w:t>
      </w:r>
      <w:r>
        <w:t xml:space="preserve"> </w:t>
      </w:r>
      <w:r>
        <w:t xml:space="preserve">(archetype 2) and retained a baseline matrix with population growth rate close to equilibrium (</w:t>
      </w:r>
      <m:oMath>
        <m:r>
          <m:t>λ</m:t>
        </m:r>
        <m:r>
          <m:rPr>
            <m:sty m:val="p"/>
          </m:rPr>
          <m:t>≈</m:t>
        </m:r>
        <m:r>
          <m:t>1</m:t>
        </m:r>
      </m:oMath>
      <w:r>
        <w:t xml:space="preserve">). We then imposed a climate effect on a single fecundity entry,</w:t>
      </w:r>
      <w:r>
        <w:t xml:space="preserve"> </w:t>
      </w:r>
      <m:oMath>
        <m:sSub>
          <m:e>
            <m:r>
              <m:t>F</m:t>
            </m:r>
          </m:e>
          <m:sub>
            <m:r>
              <m:t>1</m:t>
            </m:r>
            <m:r>
              <m:rPr>
                <m:sty m:val="p"/>
              </m:rPr>
              <m:t>,</m:t>
            </m:r>
            <m:r>
              <m:t>4</m:t>
            </m:r>
          </m:sub>
        </m:sSub>
      </m:oMath>
      <w:r>
        <w:t xml:space="preserve">, over</w:t>
      </w:r>
      <w:r>
        <w:t xml:space="preserve"> </w:t>
      </w:r>
      <m:oMath>
        <m:r>
          <m:t>T</m:t>
        </m:r>
        <m:r>
          <m:rPr>
            <m:sty m:val="p"/>
          </m:rPr>
          <m:t>=</m:t>
        </m:r>
        <m:r>
          <m:t>15</m:t>
        </m:r>
      </m:oMath>
      <w:r>
        <w:t xml:space="preserve"> </w:t>
      </w:r>
      <w:r>
        <w:t xml:space="preserve">annual time steps. In each simulated year, the climate covariate was drawn as</w:t>
      </w:r>
      <w:r>
        <w:t xml:space="preserve"> </w:t>
      </w:r>
      <m:oMath>
        <m:sSub>
          <m:e>
            <m:r>
              <m:t>x</m:t>
            </m:r>
          </m:e>
          <m:sub>
            <m:r>
              <m:t>t</m:t>
            </m:r>
          </m:sub>
        </m:sSub>
        <m:r>
          <m:rPr>
            <m:sty m:val="p"/>
          </m:rPr>
          <m:t>∼</m:t>
        </m:r>
        <m:r>
          <m:rPr>
            <m:nor/>
            <m:sty m:val="p"/>
          </m:rPr>
          <m:t>Normal</m:t>
        </m:r>
        <m:r>
          <m:rPr>
            <m:sty m:val="p"/>
          </m:rPr>
          <m:t>(</m:t>
        </m:r>
        <m:r>
          <m:t>0</m:t>
        </m:r>
        <m:r>
          <m:rPr>
            <m:sty m:val="p"/>
          </m:rPr>
          <m:t>,</m:t>
        </m:r>
        <m:r>
          <m:t>1</m:t>
        </m:r>
        <m:r>
          <m:rPr>
            <m:sty m:val="p"/>
          </m:rPr>
          <m:t>)</m:t>
        </m:r>
      </m:oMath>
      <w:r>
        <w:t xml:space="preserve">, and true fecundity followed</w:t>
      </w:r>
    </w:p>
    <w:p>
      <w:pPr>
        <w:pStyle w:val="BodyText"/>
      </w:pPr>
      <m:oMathPara>
        <m:oMathParaPr>
          <m:jc m:val="center"/>
        </m:oMathParaPr>
        <m:oMath>
          <m:r>
            <m:rPr>
              <m:sty m:val="p"/>
            </m:rPr>
            <m:t>log</m:t>
          </m:r>
          <m:r>
            <m:rPr>
              <m:sty m:val="p"/>
            </m:rPr>
            <m:t>(</m:t>
          </m:r>
          <m:sSub>
            <m:e>
              <m:r>
                <m:t>F</m:t>
              </m:r>
            </m:e>
            <m:sub>
              <m:r>
                <m:t>1</m:t>
              </m:r>
              <m:r>
                <m:rPr>
                  <m:sty m:val="p"/>
                </m:rPr>
                <m:t>,</m:t>
              </m:r>
              <m:r>
                <m:t>4</m:t>
              </m:r>
              <m:r>
                <m:rPr>
                  <m:sty m:val="p"/>
                </m:rPr>
                <m:t>,</m:t>
              </m:r>
              <m:r>
                <m:t>t</m:t>
              </m:r>
            </m:sub>
          </m:sSub>
          <m:r>
            <m:rPr>
              <m:sty m:val="p"/>
            </m:rPr>
            <m:t>)</m:t>
          </m:r>
          <m:r>
            <m:rPr>
              <m:sty m:val="p"/>
            </m:rPr>
            <m:t>=</m:t>
          </m:r>
          <m:r>
            <m:rPr>
              <m:sty m:val="p"/>
            </m:rPr>
            <m:t>log</m:t>
          </m:r>
          <m:r>
            <m:rPr>
              <m:sty m:val="p"/>
            </m:rPr>
            <m:t>(</m:t>
          </m:r>
          <m:sSub>
            <m:e>
              <m:r>
                <m:t>F</m:t>
              </m:r>
            </m:e>
            <m:sub>
              <m:r>
                <m:t>1</m:t>
              </m:r>
              <m:r>
                <m:rPr>
                  <m:sty m:val="p"/>
                </m:rPr>
                <m:t>,</m:t>
              </m:r>
              <m:r>
                <m:t>4</m:t>
              </m:r>
            </m:sub>
          </m:sSub>
          <m:r>
            <m:rPr>
              <m:sty m:val="p"/>
            </m:rPr>
            <m:t>)</m:t>
          </m:r>
          <m:r>
            <m:rPr>
              <m:sty m:val="p"/>
            </m:rPr>
            <m:t>+</m:t>
          </m:r>
          <m:sSub>
            <m:e>
              <m:r>
                <m:t>β</m:t>
              </m:r>
            </m:e>
            <m:sub>
              <m:r>
                <m:rPr>
                  <m:nor/>
                  <m:sty m:val="p"/>
                </m:rPr>
                <m:t>true</m:t>
              </m:r>
            </m:sub>
          </m:sSub>
          <m:sSub>
            <m:e>
              <m:r>
                <m:t>x</m:t>
              </m:r>
            </m:e>
            <m:sub>
              <m:r>
                <m:t>t</m:t>
              </m:r>
            </m:sub>
          </m:sSub>
          <m:r>
            <m:rPr>
              <m:sty m:val="p"/>
            </m:rPr>
            <m:t>+</m:t>
          </m:r>
          <m:sSub>
            <m:e>
              <m:r>
                <m:t>z</m:t>
              </m:r>
            </m:e>
            <m:sub>
              <m:r>
                <m:t>t</m:t>
              </m:r>
            </m:sub>
          </m:sSub>
          <m:r>
            <m:rPr>
              <m:sty m:val="p"/>
            </m:rPr>
            <m:t>,</m:t>
          </m:r>
          <m:r>
            <m:t>  </m:t>
          </m:r>
          <m:r>
            <m:rPr>
              <m:sty m:val="p"/>
            </m:rPr>
            <m:t>(</m:t>
          </m:r>
          <m:r>
            <m:t>15</m:t>
          </m:r>
          <m:r>
            <m:rPr>
              <m:sty m:val="p"/>
            </m:rPr>
            <m:t>)</m:t>
          </m:r>
        </m:oMath>
      </m:oMathPara>
    </w:p>
    <w:p>
      <w:pPr>
        <w:pStyle w:val="FirstParagraph"/>
      </w:pPr>
      <w:r>
        <w:t xml:space="preserve">where</w:t>
      </w:r>
      <w:r>
        <w:t xml:space="preserve"> </w:t>
      </w:r>
      <m:oMath>
        <m:sSub>
          <m:e>
            <m:r>
              <m:t>β</m:t>
            </m:r>
          </m:e>
          <m:sub>
            <m:r>
              <m:rPr>
                <m:nor/>
                <m:sty m:val="p"/>
              </m:rPr>
              <m:t>true</m:t>
            </m:r>
          </m:sub>
        </m:sSub>
      </m:oMath>
      <w:r>
        <w:t xml:space="preserve"> </w:t>
      </w:r>
      <w:r>
        <w:t xml:space="preserve">was set to 0.1, 0.3, or 0.5, and</w:t>
      </w:r>
      <w:r>
        <w:t xml:space="preserve"> </w:t>
      </w:r>
      <m:oMath>
        <m:sSub>
          <m:e>
            <m:r>
              <m:t>z</m:t>
            </m:r>
          </m:e>
          <m:sub>
            <m:r>
              <m:t>t</m:t>
            </m:r>
          </m:sub>
        </m:sSub>
        <m:r>
          <m:rPr>
            <m:sty m:val="p"/>
          </m:rPr>
          <m:t>∼</m:t>
        </m:r>
        <m:r>
          <m:rPr>
            <m:nor/>
            <m:sty m:val="p"/>
          </m:rPr>
          <m:t>Normal</m:t>
        </m:r>
        <m:r>
          <m:rPr>
            <m:sty m:val="p"/>
          </m:rPr>
          <m:t>(</m:t>
        </m:r>
        <m:r>
          <m:t>0</m:t>
        </m:r>
        <m:r>
          <m:rPr>
            <m:sty m:val="p"/>
          </m:rPr>
          <m:t>,</m:t>
        </m:r>
        <m:sSup>
          <m:e>
            <m:r>
              <m:t>0.2</m:t>
            </m:r>
          </m:e>
          <m:sup>
            <m:r>
              <m:t>2</m:t>
            </m:r>
          </m:sup>
        </m:sSup>
        <m:r>
          <m:rPr>
            <m:sty m:val="p"/>
          </m:rPr>
          <m:t>)</m:t>
        </m:r>
      </m:oMath>
      <w:r>
        <w:t xml:space="preserve"> </w:t>
      </w:r>
      <w:r>
        <w:t xml:space="preserve">represented additional year-to-year biological variation not explained by climate. For each year we then simulated observed seedling counts from finite samples of reproductive individuals, using stage sample sizes of 10, 20, 50, or 100 per year. We analysed 200 replicate time series for each effect-size and sample-size combination.</w:t>
      </w:r>
    </w:p>
    <w:p>
      <w:pPr>
        <w:pStyle w:val="BodyText"/>
      </w:pPr>
      <w:r>
        <w:t xml:space="preserve">For each simulated dataset, we fit three models to estimate the climate effect on recruitment: (i) a Gaussian regression on annual point estimates of fecundity, (ii) a Poisson count model using observed seedling counts and an offset for the number of reproductive individuals, and (iii) a Poisson uncertainty-aware model that additionally included a latent year-specific process term analogous to</w:t>
      </w:r>
      <w:r>
        <w:t xml:space="preserve"> </w:t>
      </w:r>
      <m:oMath>
        <m:sSub>
          <m:e>
            <m:r>
              <m:t>z</m:t>
            </m:r>
          </m:e>
          <m:sub>
            <m:r>
              <m:t>t</m:t>
            </m:r>
          </m:sub>
        </m:sSub>
      </m:oMath>
      <w:r>
        <w:t xml:space="preserve">. We then compared the models in terms of bias and 95% interval coverage (the proportion of replicate datasets in which the 95% interval contained the true effect</w:t>
      </w:r>
      <w:r>
        <w:t xml:space="preserve"> </w:t>
      </w:r>
      <m:oMath>
        <m:sSub>
          <m:e>
            <m:r>
              <m:t>β</m:t>
            </m:r>
          </m:e>
          <m:sub>
            <m:r>
              <m:rPr>
                <m:nor/>
                <m:sty m:val="p"/>
              </m:rPr>
              <m:t>true</m:t>
            </m:r>
          </m:sub>
        </m:sSub>
      </m:oMath>
      <w:r>
        <w:t xml:space="preserve">; a well-calibrated model achieves coverage close to the nominal 0.95). This design isolates the effect of uncertainty propagation because the true climate effect is known, while still mimicking the sampling structure of finite field data. A supplementary multisite robustness analysis applying the analysis 2 framework to three</w:t>
      </w:r>
      <w:r>
        <w:t xml:space="preserve"> </w:t>
      </w:r>
      <w:r>
        <w:rPr>
          <w:i/>
          <w:iCs/>
        </w:rPr>
        <w:t xml:space="preserve">Astragalus scaphoides</w:t>
      </w:r>
      <w:r>
        <w:t xml:space="preserve"> </w:t>
      </w:r>
      <w:r>
        <w:t xml:space="preserve">populations is reported in Supplementary Methods section S1.10 and Supplementary Results section S2.5.</w:t>
      </w:r>
    </w:p>
    <w:p>
      <w:pPr>
        <w:pStyle w:val="BodyText"/>
      </w:pPr>
      <w:r>
        <w:t xml:space="preserve">All analyses were run in R (4.6.1) using RStan (2.32.7), with data handling and plotting in tidyverse packages.</w:t>
      </w:r>
    </w:p>
    <w:bookmarkEnd w:id="30"/>
    <w:bookmarkEnd w:id="31"/>
    <w:bookmarkEnd w:id="32"/>
    <w:bookmarkStart w:id="36" w:name="results"/>
    <w:p>
      <w:pPr>
        <w:pStyle w:val="Heading1"/>
      </w:pPr>
      <w:r>
        <w:t xml:space="preserve">Results</w:t>
      </w:r>
    </w:p>
    <w:bookmarkStart w:id="33"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Because sample sizes were pooled across years, these ratios are conservative estimates of the true sampling-to-biological variance ratio. Thus, part of the apparent among-population variation in mortality trajectories in comparative senescence analyses may reflect sampling noise and temporal variation, not only true underlying biological differences.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did not impact the overall conclusion (Fig.</w:t>
      </w:r>
      <w:r>
        <w:t xml:space="preserve"> </w:t>
      </w:r>
      <w:r>
        <w:t xml:space="preserve">4</w:t>
      </w:r>
      <w:r>
        <w:t xml:space="preserve">; Supplementary Table S3). While the posterior distribution of the slope parameter β from the point-estimate model was centred slightly to the left of zero (P[β &gt; 0] = 0.146), the corresponding posterior from the sampling-uncertainty model was shifted somewhat to the right (P[β &gt; 0] = 0.770). This shift in the posterior between the two models led to a change in sign of the posterior median between the two scenarios. The shift in sign of the result is not trivial; however, given that the overall conclusion in both cases is that there is no strong effect, this remains robust.</w:t>
      </w:r>
    </w:p>
    <w:p>
      <w:pPr>
        <w:pStyle w:val="BodyText"/>
      </w:pPr>
      <w:r>
        <w:t xml:space="preserve">Counterintuitively, there was less posterior uncertainty in β in the sampling-uncertainty model than in the point-estimate model. The shift of extreme shape estimates towards zero (Figure</w:t>
      </w:r>
      <w:r>
        <w:t xml:space="preserve"> </w:t>
      </w:r>
      <w:r>
        <w:t xml:space="preserve">4</w:t>
      </w:r>
      <w:r>
        <w:t xml:space="preserve">A) may contribute to this narrowing, but posterior precision also depends on the model assumptions and treatment of uncertainty; reduced scatter alone does not establish the explanation.</w:t>
      </w:r>
    </w:p>
    <w:bookmarkEnd w:id="33"/>
    <w:bookmarkStart w:id="34"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stages 1 and 4 are labelled as not estimable because stage 1 has only four usable years and stage 4 has 100% survival in all usable years. The narrower intervals in the count model should be interpreted in light of the different likelihood and weighting assumptions, rather than attributed to uncertainty propagation alone.</w:t>
      </w:r>
    </w:p>
    <w:bookmarkEnd w:id="34"/>
    <w:bookmarkStart w:id="35" w:name="X833b9bf9308421cbeeaa896dbc36efa1f10b09d"/>
    <w:p>
      <w:pPr>
        <w:pStyle w:val="Heading2"/>
      </w:pPr>
      <w:r>
        <w:t xml:space="preserve">Analysis 3: Simulation study of climate effects on fecundity</w:t>
      </w:r>
    </w:p>
    <w:p>
      <w:pPr>
        <w:pStyle w:val="FirstParagraph"/>
      </w:pPr>
      <w:r>
        <w:t xml:space="preserve">The simulation study showed that accounting for sampling uncertainty improved interval calibration without materially increasing average estimation error (Fig.</w:t>
      </w:r>
      <w:r>
        <w:t xml:space="preserve"> </w:t>
      </w:r>
      <w:r>
        <w:t xml:space="preserve">6</w:t>
      </w:r>
      <w:r>
        <w:t xml:space="preserve">). Across the full factorial design, the uncertainty-aware Poisson model achieved near-nominal 95% interval coverage (0.951), whereas the simpler Poisson point-estimate model undercovered substantially (0.757). The two Poisson formulations had very similar overall RMSE (0.086 versus 0.087), indicating that the main benefit of explicit uncertainty propagation was improved interval calibration rather than reduced average error.</w:t>
      </w:r>
    </w:p>
    <w:p>
      <w:pPr>
        <w:pStyle w:val="BodyText"/>
      </w:pPr>
      <w:r>
        <w:t xml:space="preserve">The undercoverage of the Poisson point-estimate model became more severe as sample size increased. Averaged across true effect sizes, its coverage declined from 0.897 at sample size 10 to 0.593 at sample size 100, whereas the uncertainty-aware model remained stable over the same range (0.955 to 0.952; Fig.</w:t>
      </w:r>
      <w:r>
        <w:t xml:space="preserve"> </w:t>
      </w:r>
      <w:r>
        <w:t xml:space="preserve">6</w:t>
      </w:r>
      <w:r>
        <w:t xml:space="preserve">). This occurs because the point-estimate model treats increasing sample size as if it eliminated most uncertainty, even though the simulated truth still includes year-to-year biological variation not explained by climate. As a result, its intervals become too narrow. The residual variation being represented here is among-year process variation, a component distinct from the transition-rate sampling uncertainty examined in Analyses 1 and 2; the point-estimate model becomes overconfident precisely because it implicitly assumes this variation away as sample size grows.</w:t>
      </w:r>
    </w:p>
    <w:p>
      <w:pPr>
        <w:pStyle w:val="BodyText"/>
      </w:pPr>
      <w:r>
        <w:t xml:space="preserve">Bias patterns also differed among models. The Gaussian point-estimate model showed increasing positive bias as the true effect size increased, with mean bias reaching 0.066 when</w:t>
      </w:r>
      <w:r>
        <w:t xml:space="preserve"> </w:t>
      </w:r>
      <m:oMath>
        <m:sSub>
          <m:e>
            <m:r>
              <m:t>β</m:t>
            </m:r>
          </m:e>
          <m:sub>
            <m:r>
              <m:rPr>
                <m:nor/>
                <m:sty m:val="p"/>
              </m:rPr>
              <m:t>true</m:t>
            </m:r>
          </m:sub>
        </m:sSub>
        <m:r>
          <m:rPr>
            <m:sty m:val="p"/>
          </m:rPr>
          <m:t>=</m:t>
        </m:r>
        <m:r>
          <m:t>0.5</m:t>
        </m:r>
      </m:oMath>
      <w:r>
        <w:t xml:space="preserve">, whereas both Poisson models remained close to unbiased throughout the design (Fig.</w:t>
      </w:r>
      <w:r>
        <w:t xml:space="preserve"> </w:t>
      </w:r>
      <w:r>
        <w:t xml:space="preserve">6</w:t>
      </w:r>
      <w:r>
        <w:t xml:space="preserve">). The uncertainty-aware model therefore combines the low bias of the count-based formulation with interval coverage close to the nominal 95% level. A supplementary multisite robustness analysis based on three</w:t>
      </w:r>
      <w:r>
        <w:t xml:space="preserve"> </w:t>
      </w:r>
      <w:r>
        <w:rPr>
          <w:i/>
          <w:iCs/>
        </w:rPr>
        <w:t xml:space="preserve">Astragalus scaphoides</w:t>
      </w:r>
      <w:r>
        <w:t xml:space="preserve"> </w:t>
      </w:r>
      <w:r>
        <w:t xml:space="preserve">populations showed the same qualitative conclusion as analysis 2: climate-effect inference was similar with and without explicit uncertainty propagation in that empirical setting (Supplementary Results section S2.5; Figure S5; Tables S7-S10).</w:t>
      </w:r>
    </w:p>
    <w:bookmarkEnd w:id="35"/>
    <w:bookmarkEnd w:id="36"/>
    <w:bookmarkStart w:id="43" w:name="discussion"/>
    <w:p>
      <w:pPr>
        <w:pStyle w:val="Heading1"/>
      </w:pPr>
      <w:r>
        <w:t xml:space="preserve">Discussion</w:t>
      </w:r>
    </w:p>
    <w:bookmarkStart w:id="37"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The simulation analysis clarifies that this apparent robustness does not imply that point-estimate count models are generally well calibrated: when unmodelled year-to-year biological variation is present, they can remain nearly unbiased yet still become overconfident.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together with the simulation result, therefore reflects both the type of trait analysed and the type of transition underlying it.</w:t>
      </w:r>
    </w:p>
    <w:p>
      <w:pPr>
        <w:pStyle w:val="BodyText"/>
      </w:pPr>
      <w:r>
        <w:t xml:space="preserve">We use “materially affects inference” 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7"/>
    <w:bookmarkStart w:id="38"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A plausible contributor to the sensitivity of mortality-trajectory traits is that life expectancy and shape are inferred via age-from-stage methods, which project a cohort forward through repeated matrix multiplication. Repeated projection can amplify transition-rate uncertainty into uncertainty in long-term survivorship. Integrated metrics such as population growth rate were less sensitive in our analyses, but are not inherently protected from sampling uncertainty.</w:t>
      </w:r>
    </w:p>
    <w:p>
      <w:pPr>
        <w:pStyle w:val="BodyText"/>
      </w:pPr>
      <w:r>
        <w:t xml:space="preserve">Several structural features of published matrices may exacerbate this. In our analysis 1 life expectancy-shape set (68 population-level matrix entries from 25 species), 47% (32/68) contain only a single reproductive stage class, 69% (47/68) reach their quasi-stable distribution in less than one life expectancy, and 46% (31/68) contain at least one stage-specific survival estimate of 100% after rescaling any</w:t>
      </w:r>
      <w:r>
        <w:t xml:space="preserve"> </w:t>
      </w:r>
      <m:oMath>
        <m:r>
          <m:t>U</m:t>
        </m:r>
      </m:oMath>
      <w:r>
        <w:t xml:space="preserve"> </w:t>
      </w:r>
      <w:r>
        <w:t xml:space="preserve">columns whose sums exceeded 1 (allowing for floating-point rounding). These are not rare edge cases; they are common features in our dataset that may contribute to displacement of derived trait estimates from the centre of their sampling distributions.</w:t>
      </w:r>
    </w:p>
    <w:p>
      <w:pPr>
        <w:pStyle w:val="BodyText"/>
      </w:pPr>
      <w:r>
        <w:t xml:space="preserve">Consistent with this explanation, within the analysis 1 dataset displacement magnitude increases with both the number of boundary survival stages and the proportion of sampled individuals occupying those stages (Supplementary Methods section S1.12; Table S13; Figure S3), although these associations do not establish a causal mechanism.</w:t>
      </w:r>
    </w:p>
    <w:bookmarkEnd w:id="38"/>
    <w:bookmarkStart w:id="39"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Highly aggregated demographic metrics, such as population growth rate and generation time, were less sensitive in our dataset, but this does not establish that uncertainty modelling is unnecessary. Analyses of ageing, longevity, or mortality trajectories appeared more sensitive and warrant particular caution.</w:t>
      </w:r>
    </w:p>
    <w:p>
      <w:pPr>
        <w:pStyle w:val="BodyText"/>
      </w:pPr>
      <w:r>
        <w:t xml:space="preserve">Generalisability is also conditioned by taxonomic representation. Relative to the full current COMPADRE plant database, our final 31-study subset is enriched for herbaceous perennials (64.5% of studies in our subset versus 49.1% in COMPADRE overall) and succulents (16.1% versus 7.8%), while trees (6.5% versus 15.4%) and shrubs (3.2% versus 9.0%) are under-represented; annuals and several less common plant life forms are absent entirely. Our conclusions should therefore be interpreted most directly for perennial herb and succulent systems, and more cautiously for woody or otherwise under-represented life forms.</w:t>
      </w:r>
    </w:p>
    <w:p>
      <w:pPr>
        <w:pStyle w:val="BodyText"/>
      </w:pPr>
      <w:r>
        <w:t xml:space="preserve">Within the analysed subset, the warning signs most relevant to uncertainty propagation were also unevenly distributed. Boundary survival estimates and very small stage counts were concentrated mainly in herbaceous perennial systems and in larger matrices: among 6+-stage population-level entries, 61.1% contained at least one boundary survival estimate and 44.4% had at least one stage with</w:t>
      </w:r>
      <w:r>
        <w:t xml:space="preserve"> </w:t>
      </w:r>
      <m:oMath>
        <m:r>
          <m:t>N</m:t>
        </m:r>
        <m:r>
          <m:rPr>
            <m:sty m:val="p"/>
          </m:rPr>
          <m:t>&lt;</m:t>
        </m:r>
        <m:r>
          <m:t>20</m:t>
        </m:r>
      </m:oMath>
      <w:r>
        <w:t xml:space="preserve">, compared with 36.0% and 26.0%, respectively, for 3-5-stage entries (Table S12). This pattern is consistent with the practical intuition that more weakly observed stage classes create more opportunities for boundary estimates, although woody life forms remain too sparse in our final subset for a strong life-form-specific comparison (Supplementary Methods section S1.11).</w:t>
      </w:r>
    </w:p>
    <w:p>
      <w:pPr>
        <w:pStyle w:val="BodyText"/>
      </w:pPr>
      <w:r>
        <w:t xml:space="preserve">As provisional screening heuristics, analyses warrant particular caution when: any stage has survival &gt;0.95 or &lt;0.05, or is estimated from fewer than 20 individuals; the matrix has only a single reproductive stage class; or the time to quasi-stable distribution is less than one life expectancy (these proposed thresholds are informed by a restricted, taxonomically narrow dataset and have not been validated as decision rules). Conversely, analyses may be less sensitive when survival estimates are well away from boundaries, key transitions are estimated from &gt;50 individuals, and the focal metric is highly integrated (e.g. population growth rate, generation time), but these conditions do not guarantee robustness. The absence of a detectable uncertainty effect (as in our climate-recruitment analysis) should not be taken as general evidence that propagation is unnecessary; robustness is trait- and context-specific.</w:t>
      </w:r>
    </w:p>
    <w:p>
      <w:pPr>
        <w:pStyle w:val="BodyText"/>
      </w:pPr>
      <w:r>
        <w:t xml:space="preserve">Our analyses used count-based, stage-structured (Lefkovitch) matrices, and the consequences of sampling uncertainty may differ for other widely used demographic model types. In age-based (Leslie) models, vital rates are indexed by age rather than stage, so the age-from-stage reconstruction that amplifies late-stage survival errors in our analysis 1 does not arise in the same way, but uncertainty can still accumulate when survival is projected across ages. Analyses built directly from individual-level data, such as integral projection models or capture-recapture survival models, typically estimate vital rates by sharing information across ages or sizes; such partial pooling tends to reduce the variance of weakly informed rates but can induce correlations among them, altering both the magnitude and the structure of the uncertainty that propagates to derived quantities. In those settings, propagating uncertainty from the joint posterior of the fitted vital-rate model, rather than treating rate estimates as independent, would be the natural extension of our approach.</w:t>
      </w:r>
    </w:p>
    <w:bookmarkEnd w:id="39"/>
    <w:bookmarkStart w:id="40"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0"/>
    <w:bookmarkStart w:id="41"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Under the current reproducible COMPADRE-based screen, 23 of 92 post-2010 target studies were retained, with most exclusions reflecting insufficient reporting of transition-specific sample sizes and a smaller number reflecting incompatible estimation approaches.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 “correct” 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1"/>
    <w:bookmarkStart w:id="42"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lower sensitivity for these traits in this dataset, rather than general robustness across published MPMs.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2"/>
    <w:bookmarkEnd w:id="43"/>
    <w:bookmarkStart w:id="44"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4"/>
    <w:bookmarkStart w:id="45"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5"/>
    <w:bookmarkStart w:id="46" w:name="conflict-of-interest"/>
    <w:p>
      <w:pPr>
        <w:pStyle w:val="Heading1"/>
      </w:pPr>
      <w:r>
        <w:t xml:space="preserve">Conflict of interest</w:t>
      </w:r>
    </w:p>
    <w:p>
      <w:pPr>
        <w:pStyle w:val="FirstParagraph"/>
      </w:pPr>
      <w:r>
        <w:t xml:space="preserve">The authors declare no conflict of interest.</w:t>
      </w:r>
    </w:p>
    <w:bookmarkEnd w:id="46"/>
    <w:bookmarkStart w:id="48"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47">
        <w:r>
          <w:rPr>
            <w:rStyle w:val="Hyperlink"/>
          </w:rPr>
          <w:t xml:space="preserve">https://doi.org/10.5281/zenodo.19474729</w:t>
        </w:r>
      </w:hyperlink>
      <w:r>
        <w:t xml:space="preserve">.</w:t>
      </w:r>
    </w:p>
    <w:bookmarkEnd w:id="48"/>
    <w:bookmarkStart w:id="49"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Included versus excluded studies in the current target-study screen.</w:t>
      </w:r>
    </w:p>
    <w:p>
      <w:pPr>
        <w:pStyle w:val="Compact"/>
        <w:numPr>
          <w:ilvl w:val="0"/>
          <w:numId w:val="1002"/>
        </w:numPr>
      </w:pPr>
      <w:r>
        <w:rPr>
          <w:b/>
          <w:bCs/>
        </w:rPr>
        <w:t xml:space="preserve">Supplementary Methods S1.9</w:t>
      </w:r>
      <w:r>
        <w:t xml:space="preserve">: Species identities in analysis 1.</w:t>
      </w:r>
    </w:p>
    <w:p>
      <w:pPr>
        <w:pStyle w:val="Compact"/>
        <w:numPr>
          <w:ilvl w:val="0"/>
          <w:numId w:val="1002"/>
        </w:numPr>
      </w:pPr>
      <w:r>
        <w:rPr>
          <w:b/>
          <w:bCs/>
        </w:rPr>
        <w:t xml:space="preserve">Supplementary Methods S1.10</w:t>
      </w:r>
      <w:r>
        <w:t xml:space="preserve">: Multisite robustness extension of analysis 2 (</w:t>
      </w:r>
      <w:r>
        <w:rPr>
          <w:i/>
          <w:iCs/>
        </w:rPr>
        <w:t xml:space="preserve">Astragalus scaphoides</w:t>
      </w:r>
      <w:r>
        <w:t xml:space="preserve">).</w:t>
      </w:r>
    </w:p>
    <w:p>
      <w:pPr>
        <w:pStyle w:val="Compact"/>
        <w:numPr>
          <w:ilvl w:val="0"/>
          <w:numId w:val="1002"/>
        </w:numPr>
      </w:pPr>
      <w:r>
        <w:rPr>
          <w:b/>
          <w:bCs/>
        </w:rPr>
        <w:t xml:space="preserve">Supplementary Methods S1.11</w:t>
      </w:r>
      <w:r>
        <w:t xml:space="preserve">: Boundary survival estimates and small stage-specific sample sizes in analysis 1.</w:t>
      </w:r>
    </w:p>
    <w:p>
      <w:pPr>
        <w:pStyle w:val="Compact"/>
        <w:numPr>
          <w:ilvl w:val="0"/>
          <w:numId w:val="1002"/>
        </w:numPr>
      </w:pPr>
      <w:r>
        <w:rPr>
          <w:b/>
          <w:bCs/>
        </w:rPr>
        <w:t xml:space="preserve">Supplementary Methods S1.12</w:t>
      </w:r>
      <w:r>
        <w:t xml:space="preserve">: Displacement magnitude versus boundary survival structure.</w:t>
      </w:r>
    </w:p>
    <w:p>
      <w:pPr>
        <w:pStyle w:val="Compact"/>
        <w:numPr>
          <w:ilvl w:val="0"/>
          <w:numId w:val="1002"/>
        </w:numPr>
      </w:pPr>
      <w:r>
        <w:rPr>
          <w:b/>
          <w:bCs/>
        </w:rPr>
        <w:t xml:space="preserve">Supplementary Methods S1.13</w:t>
      </w:r>
      <w:r>
        <w:t xml:space="preserve">: Sensitivity to the quasi-stable-distribution truncation threshold.</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Supplementary Results S2.2</w:t>
      </w:r>
      <w:r>
        <w:t xml:space="preserve">: Where do boundary estimates and small stage counts occur?</w:t>
      </w:r>
    </w:p>
    <w:p>
      <w:pPr>
        <w:pStyle w:val="Compact"/>
        <w:numPr>
          <w:ilvl w:val="0"/>
          <w:numId w:val="1002"/>
        </w:numPr>
      </w:pPr>
      <w:r>
        <w:rPr>
          <w:b/>
          <w:bCs/>
        </w:rPr>
        <w:t xml:space="preserve">Supplementary Results S2.3</w:t>
      </w:r>
      <w:r>
        <w:t xml:space="preserve">: Does displacement increase with boundary survival structure?</w:t>
      </w:r>
    </w:p>
    <w:p>
      <w:pPr>
        <w:pStyle w:val="Compact"/>
        <w:numPr>
          <w:ilvl w:val="0"/>
          <w:numId w:val="1002"/>
        </w:numPr>
      </w:pPr>
      <w:r>
        <w:rPr>
          <w:b/>
          <w:bCs/>
        </w:rPr>
        <w:t xml:space="preserve">Supplementary Results S2.4</w:t>
      </w:r>
      <w:r>
        <w:t xml:space="preserve">: Sensitivity of shape estimates to the truncation threshold.</w:t>
      </w:r>
    </w:p>
    <w:p>
      <w:pPr>
        <w:pStyle w:val="Compact"/>
        <w:numPr>
          <w:ilvl w:val="0"/>
          <w:numId w:val="1002"/>
        </w:numPr>
      </w:pPr>
      <w:r>
        <w:rPr>
          <w:b/>
          <w:bCs/>
        </w:rPr>
        <w:t xml:space="preserve">Supplementary Results S2.5</w:t>
      </w:r>
      <w:r>
        <w:t xml:space="preserve">: Multisite robustness analysis in</w:t>
      </w:r>
      <w:r>
        <w:t xml:space="preserve"> </w:t>
      </w:r>
      <w:r>
        <w:rPr>
          <w:i/>
          <w:iCs/>
        </w:rPr>
        <w:t xml:space="preserve">Astragalus scaphoides</w:t>
      </w:r>
      <w:r>
        <w:t xml:space="preserve">.</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Multisite robustness-analysis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Multisite robustness-analysis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Multisite robustness-analysis stage-specific survival-temperature coefficients under no weights and SSD weights.</w:t>
      </w:r>
    </w:p>
    <w:p>
      <w:pPr>
        <w:pStyle w:val="Compact"/>
        <w:numPr>
          <w:ilvl w:val="0"/>
          <w:numId w:val="1002"/>
        </w:numPr>
      </w:pPr>
      <w:r>
        <w:rPr>
          <w:b/>
          <w:bCs/>
        </w:rPr>
        <w:t xml:space="preserve">Table S11</w:t>
      </w:r>
      <w:r>
        <w:t xml:space="preserve">: Comparison of screened target studies that were included versus excluded under the current reproducible COMPADRE-based screen.</w:t>
      </w:r>
    </w:p>
    <w:p>
      <w:pPr>
        <w:pStyle w:val="Compact"/>
        <w:numPr>
          <w:ilvl w:val="0"/>
          <w:numId w:val="1002"/>
        </w:numPr>
      </w:pPr>
      <w:r>
        <w:rPr>
          <w:b/>
          <w:bCs/>
        </w:rPr>
        <w:t xml:space="preserve">Table S12</w:t>
      </w:r>
      <w:r>
        <w:t xml:space="preserve">: Distribution of boundary survival estimates and small stage-specific sample sizes across analysis 1 population-level MPM entries.</w:t>
      </w:r>
    </w:p>
    <w:p>
      <w:pPr>
        <w:pStyle w:val="Compact"/>
        <w:numPr>
          <w:ilvl w:val="0"/>
          <w:numId w:val="1002"/>
        </w:numPr>
      </w:pPr>
      <w:r>
        <w:rPr>
          <w:b/>
          <w:bCs/>
        </w:rPr>
        <w:t xml:space="preserve">Table S13</w:t>
      </w:r>
      <w:r>
        <w:t xml:space="preserve">: Linear models relating displacement magnitude in analysis 1 to boundary-survival predictors.</w:t>
      </w:r>
    </w:p>
    <w:p>
      <w:pPr>
        <w:pStyle w:val="Compact"/>
        <w:numPr>
          <w:ilvl w:val="0"/>
          <w:numId w:val="1002"/>
        </w:numPr>
      </w:pPr>
      <w:r>
        <w:rPr>
          <w:b/>
          <w:bCs/>
        </w:rPr>
        <w:t xml:space="preserve">Table S14</w:t>
      </w:r>
      <w:r>
        <w:t xml:space="preserve">: Sensitivity of analysis 1 shape estimates to the quasi-stable-distribution truncation threshold.</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pPr>
        <w:pStyle w:val="Compact"/>
        <w:numPr>
          <w:ilvl w:val="0"/>
          <w:numId w:val="1002"/>
        </w:numPr>
      </w:pPr>
      <w:r>
        <w:rPr>
          <w:b/>
          <w:bCs/>
        </w:rPr>
        <w:t xml:space="preserve">Figure S3</w:t>
      </w:r>
      <w:r>
        <w:t xml:space="preserve">: Displacement magnitude in analysis 1 versus boundary-survival structure.</w:t>
      </w:r>
    </w:p>
    <w:p>
      <w:pPr>
        <w:pStyle w:val="Compact"/>
        <w:numPr>
          <w:ilvl w:val="0"/>
          <w:numId w:val="1002"/>
        </w:numPr>
      </w:pPr>
      <w:r>
        <w:rPr>
          <w:b/>
          <w:bCs/>
        </w:rPr>
        <w:t xml:space="preserve">Figure S4</w:t>
      </w:r>
      <w:r>
        <w:t xml:space="preserve">: Sensitivity of analysis 1 shape estimates to the quasi-stable-distribution truncation threshold.</w:t>
      </w:r>
    </w:p>
    <w:p>
      <w:pPr>
        <w:pStyle w:val="Compact"/>
        <w:numPr>
          <w:ilvl w:val="0"/>
          <w:numId w:val="1002"/>
        </w:numPr>
      </w:pPr>
      <w:r>
        <w:rPr>
          <w:b/>
          <w:bCs/>
        </w:rPr>
        <w:t xml:space="preserve">Figure S5</w:t>
      </w:r>
      <w:r>
        <w:t xml:space="preserve">: Multisite robustness analysis for</w:t>
      </w:r>
      <w:r>
        <w:t xml:space="preserve"> </w:t>
      </w:r>
      <w:r>
        <w:rPr>
          <w:i/>
          <w:iCs/>
        </w:rPr>
        <w:t xml:space="preserve">Astragalus scaphoides</w:t>
      </w:r>
      <w:r>
        <w:t xml:space="preserve">.</w:t>
      </w:r>
    </w:p>
    <w:p>
      <w:r>
        <w:br w:type="page"/>
      </w:r>
    </w:p>
    <w:bookmarkEnd w:id="49"/>
    <w:bookmarkStart w:id="88"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0">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1">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2">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3">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4">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5">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6">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7">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58">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59">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0">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1">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2">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3">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4">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6">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7">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68">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69">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0">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1">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2">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3">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4">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5">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6">
        <w:r>
          <w:rPr>
            <w:rStyle w:val="Hyperlink"/>
          </w:rPr>
          <w:t xml:space="preserve">https://doi.org/10.1890/15-0846R.1</w:t>
        </w:r>
      </w:hyperlink>
    </w:p>
    <w:p>
      <w:pPr>
        <w:pStyle w:val="BodyText"/>
      </w:pPr>
      <w:r>
        <w:t xml:space="preserve">PRISM Group, Oregon State University (2026) PRISM Climate Data.</w:t>
      </w:r>
      <w:r>
        <w:t xml:space="preserve"> </w:t>
      </w:r>
      <w:hyperlink r:id="rId77">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78">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79">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0">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1">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2">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3">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4">
        <w:r>
          <w:rPr>
            <w:rStyle w:val="Hyperlink"/>
          </w:rPr>
          <w:t xml:space="preserve">https://mc-stan.org/</w:t>
        </w:r>
      </w:hyperlink>
      <w:r>
        <w:t xml:space="preserve"> </w:t>
      </w:r>
      <w:hyperlink r:id="rId85">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6">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7">
        <w:r>
          <w:rPr>
            <w:rStyle w:val="Hyperlink"/>
          </w:rPr>
          <w:t xml:space="preserve">https://doi.org/10.1371/journal.pone.0119163</w:t>
        </w:r>
      </w:hyperlink>
    </w:p>
    <w:p>
      <w:r>
        <w:br w:type="page"/>
      </w:r>
    </w:p>
    <w:bookmarkEnd w:id="88"/>
    <w:bookmarkStart w:id="90" w:name="tables"/>
    <w:p>
      <w:pPr>
        <w:pStyle w:val="Heading1"/>
      </w:pPr>
      <w:r>
        <w:t xml:space="preserve">Tables</w:t>
      </w:r>
    </w:p>
    <w:p>
      <w:pPr>
        <w:pStyle w:val="TableCaption"/>
      </w:pPr>
      <w:bookmarkStart w:id="89" w:name="tab:table-case1-var"/>
      <w:bookmarkEnd w:id="89"/>
      <w:r>
        <w:t xml:space="preserve">Table 1:</w:t>
      </w:r>
      <w:r>
        <w:t xml:space="preserve"> </w:t>
      </w:r>
      <w:r>
        <w:t xml:space="preserve">Sampling-to-other variance ratios for key demographic parameters in analysis 1, with 95% intervals from the variance-component model. Ratios greater than 1 indicate that variance attributable to transition-rate sampling uncertainty exceeds residual biological variance across population-level entries (including both among-population and among-species variation). This shows that the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gridCol w:w="985"/>
        <w:gridCol w:w="1022"/>
        <w:gridCol w:w="162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interval</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 5.06]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 2.55]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 1.15]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 1.29]</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 2.22]</w:t>
            </w:r>
          </w:p>
        </w:tc>
      </w:tr>
      <w:tr>
        <w:trPr>
          <w:trHeight w:val="6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 2.59]</w:t>
            </w:r>
          </w:p>
        </w:tc>
      </w:tr>
    </w:tbl>
    <w:p>
      <w:r>
        <w:br w:type="page"/>
      </w:r>
    </w:p>
    <w:bookmarkEnd w:id="90"/>
    <w:bookmarkStart w:id="115"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 title="" id="92" name="Picture"/>
            <a:graphic>
              <a:graphicData uri="http://schemas.openxmlformats.org/drawingml/2006/picture">
                <pic:pic>
                  <pic:nvPicPr>
                    <pic:cNvPr descr="sampling_uncertainty_mpm_main_files/b2aba0db56ecc9ec329c1fce4627fa03b466ca53.png" id="93" name="Picture"/>
                    <pic:cNvPicPr>
                      <a:picLocks noChangeArrowheads="1" noChangeAspect="1"/>
                    </pic:cNvPicPr>
                  </pic:nvPicPr>
                  <pic:blipFill>
                    <a:blip r:embed="rId91"/>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4" w:name="fig:fig-main-1a"/>
      <w:bookmarkEnd w:id="94"/>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 title="" id="96" name="Picture"/>
            <a:graphic>
              <a:graphicData uri="http://schemas.openxmlformats.org/drawingml/2006/picture">
                <pic:pic>
                  <pic:nvPicPr>
                    <pic:cNvPr descr="sampling_uncertainty_mpm_main_files/0d4d790f4c43f8144c7f28ee99151a38ae6a0687.png" id="97" name="Picture"/>
                    <pic:cNvPicPr>
                      <a:picLocks noChangeArrowheads="1" noChangeAspect="1"/>
                    </pic:cNvPicPr>
                  </pic:nvPicPr>
                  <pic:blipFill>
                    <a:blip r:embed="rId95"/>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98" w:name="fig:fig-main-1b"/>
      <w:bookmarkEnd w:id="98"/>
      <w:r>
        <w:t xml:space="preserve">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 title="" id="100" name="Picture"/>
            <a:graphic>
              <a:graphicData uri="http://schemas.openxmlformats.org/drawingml/2006/picture">
                <pic:pic>
                  <pic:nvPicPr>
                    <pic:cNvPr descr="sampling_uncertainty_mpm_main_files/1d97de92535eeb793298a583ba95629e1012f164.png" id="101" name="Picture"/>
                    <pic:cNvPicPr>
                      <a:picLocks noChangeArrowheads="1" noChangeAspect="1"/>
                    </pic:cNvPicPr>
                  </pic:nvPicPr>
                  <pic:blipFill>
                    <a:blip r:embed="rId99"/>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2" w:name="fig:fig-main-2"/>
      <w:bookmarkEnd w:id="102"/>
      <w:r>
        <w:t xml:space="preserve">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2.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itle="" id="104" name="Picture"/>
            <a:graphic>
              <a:graphicData uri="http://schemas.openxmlformats.org/drawingml/2006/picture">
                <pic:pic>
                  <pic:nvPicPr>
                    <pic:cNvPr descr="sampling_uncertainty_mpm_main_files/1fd9b0e750f950e9f3ad09787ffb37149bd9fb00.png" id="105" name="Picture"/>
                    <pic:cNvPicPr>
                      <a:picLocks noChangeArrowheads="1" noChangeAspect="1"/>
                    </pic:cNvPicPr>
                  </pic:nvPicPr>
                  <pic:blipFill>
                    <a:blip r:embed="rId103"/>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6" w:name="fig:fig-main-3"/>
      <w:bookmarkEnd w:id="106"/>
      <w:r>
        <w:t xml:space="preserve">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2</w:t>
      </w:r>
      <w:r>
        <w:t xml:space="preserve">.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 title="" id="108" name="Picture"/>
            <a:graphic>
              <a:graphicData uri="http://schemas.openxmlformats.org/drawingml/2006/picture">
                <pic:pic>
                  <pic:nvPicPr>
                    <pic:cNvPr descr="sampling_uncertainty_mpm_main_files/4d6e73f8b7e26648688ff56538b870046b569a71.png" id="109" name="Picture"/>
                    <pic:cNvPicPr>
                      <a:picLocks noChangeArrowheads="1" noChangeAspect="1"/>
                    </pic:cNvPicPr>
                  </pic:nvPicPr>
                  <pic:blipFill>
                    <a:blip r:embed="rId107"/>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0" w:name="fig:fig-main-4"/>
      <w:bookmarkEnd w:id="110"/>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w:t>
      </w:r>
    </w:p>
    <w:p>
      <w:r>
        <w:br w:type="page"/>
      </w:r>
    </w:p>
    <w:p>
      <w:pPr>
        <w:pStyle w:val="CaptionedFigure"/>
      </w:pPr>
      <w:r>
        <w:drawing>
          <wp:inline>
            <wp:extent cx="5727700" cy="4455476"/>
            <wp:effectExtent b="0" l="0" r="0" t="0"/>
            <wp:docPr descr="Figure 6: Simulation analysis of climate effects on fecundity, showing that accounting for sampling uncertainty improves interval performance while keeping bias low. The upper row shows bias, and the lower row shows 95% interval coverage, across four sample sizes and three true effect sizes (beta = 0.1, 0.3, and 0.5). The Gaussian point-estimate model (purple) becomes increasingly biased as the true effect grows. The Poisson point-estimate model (blue) is nearly unbiased but its intervals miss the true effect too often, especially at larger sample sizes. The uncertainty-aware Poisson model (green) keeps coverage close to the expected 95% level across the full design." title="" id="112" name="Picture"/>
            <a:graphic>
              <a:graphicData uri="http://schemas.openxmlformats.org/drawingml/2006/picture">
                <pic:pic>
                  <pic:nvPicPr>
                    <pic:cNvPr descr="sampling_uncertainty_mpm_main_files/de5c323961f05beb78df7a05b26b0aa139ba5382.png" id="113" name="Picture"/>
                    <pic:cNvPicPr>
                      <a:picLocks noChangeArrowheads="1" noChangeAspect="1"/>
                    </pic:cNvPicPr>
                  </pic:nvPicPr>
                  <pic:blipFill>
                    <a:blip r:embed="rId111"/>
                    <a:stretch>
                      <a:fillRect/>
                    </a:stretch>
                  </pic:blipFill>
                  <pic:spPr bwMode="auto">
                    <a:xfrm>
                      <a:off x="0" y="0"/>
                      <a:ext cx="5727700" cy="4455476"/>
                    </a:xfrm>
                    <a:prstGeom prst="rect">
                      <a:avLst/>
                    </a:prstGeom>
                    <a:noFill/>
                    <a:ln w="9525">
                      <a:noFill/>
                      <a:headEnd/>
                      <a:tailEnd/>
                    </a:ln>
                  </pic:spPr>
                </pic:pic>
              </a:graphicData>
            </a:graphic>
          </wp:inline>
        </w:drawing>
      </w:r>
    </w:p>
    <w:p>
      <w:pPr>
        <w:pStyle w:val="ImageCaption"/>
      </w:pPr>
      <w:bookmarkStart w:id="114" w:name="fig:fig-main-5"/>
      <w:bookmarkEnd w:id="114"/>
      <w:r>
        <w:t xml:space="preserve">Figure 6: Simulation analysis of climate effects on fecundity, showing that accounting for sampling uncertainty improves interval performance while keeping bias low. The upper row shows bias, and the lower row shows 95% interval coverage, across four sample sizes and three true effect sizes (beta = 0.1, 0.3, and 0.5). The Gaussian point-estimate model (purple) becomes increasingly biased as the true effect grows. The Poisson point-estimate model (blue) is nearly unbiased but its intervals miss the true effect too often, especially at larger sample sizes. The uncertainty-aware Poisson model (green) keeps coverage close to the expected 95% level across the full design.</w:t>
      </w:r>
    </w:p>
    <w:bookmarkEnd w:id="115"/>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111" Target="media/rId111.png" /><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2026-09-21T04:45:06Z</dcterms:created>
  <dcterms:modified xsi:type="dcterms:W3CDTF">2026-09-21T04:45:06Z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