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41.png" ContentType="image/png"/>
  <Override PartName="/word/media/rId44.png" ContentType="image/png"/>
  <Override PartName="/word/media/rId3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supplementary-methods"/>
    <w:p>
      <w:pPr>
        <w:pStyle w:val="Heading1"/>
      </w:pPr>
      <w:r>
        <w:t xml:space="preserve">Supplementary Methods</w:t>
      </w:r>
    </w:p>
    <w:bookmarkStart w:id="17"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17"/>
    <w:bookmarkStart w:id="18"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8"/>
    <w:bookmarkStart w:id="19"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19"/>
    <w:bookmarkStart w:id="20"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Compact"/>
        <w:numPr>
          <w:ilvl w:val="0"/>
          <w:numId w:val="1001"/>
        </w:numPr>
      </w:pPr>
      <w:r>
        <w:t xml:space="preserve">The multisite</w:t>
      </w:r>
      <w:r>
        <w:t xml:space="preserve"> </w:t>
      </w:r>
      <w:r>
        <w:rPr>
          <w:i/>
          <w:iCs/>
        </w:rPr>
        <w:t xml:space="preserve">Astragalus scaphoides</w:t>
      </w:r>
      <w:r>
        <w:t xml:space="preserve"> </w:t>
      </w:r>
      <w:r>
        <w:t xml:space="preserve">robustness analysis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2"/>
        </w:numPr>
      </w:pPr>
      <w:r>
        <w:t xml:space="preserve">Multisite</w:t>
      </w:r>
      <w:r>
        <w:t xml:space="preserve"> </w:t>
      </w:r>
      <w:r>
        <w:rPr>
          <w:i/>
          <w:iCs/>
        </w:rPr>
        <w:t xml:space="preserve">Astragalus scaphoides</w:t>
      </w:r>
      <w:r>
        <w:t xml:space="preserve"> </w:t>
      </w:r>
      <w:r>
        <w:t xml:space="preserve">robustness analysis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20"/>
    <w:bookmarkStart w:id="21"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r>
            <m:rPr>
              <m:sty m:val="p"/>
            </m:rPr>
            <m:t>(</m:t>
          </m:r>
          <m:r>
            <m:t>1</m:t>
          </m:r>
          <m:r>
            <m:rPr>
              <m:sty m:val="p"/>
            </m:rPr>
            <m:t>)</m:t>
          </m:r>
        </m:oMath>
      </m:oMathPara>
    </w:p>
    <w:p>
      <w:pPr>
        <w:pStyle w:val="FirstParagraph"/>
      </w:pPr>
      <w:r>
        <w:t xml:space="preserve">Ratios above 1 indicate that sampling uncertainty exceeds residual biological variation for that parameter.</w:t>
      </w:r>
    </w:p>
    <w:bookmarkEnd w:id="21"/>
    <w:bookmarkStart w:id="22"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cr m:val="monospace"/>
            <m:sty m:val="p"/>
          </m:rPr>
          <m:t>surv</m:t>
        </m:r>
        <m:r>
          <m:rPr>
            <m:sty m:val="p"/>
          </m:rPr>
          <m:t>∼</m:t>
        </m:r>
        <m:r>
          <m:rPr>
            <m:nor/>
            <m:scr m:val="monospace"/>
            <m:sty m:val="p"/>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 The quasibinomial model estimates dispersion, whereas the binomial model fixes it at 1; together with the different weights, this prevents attributing interval-width differences solely to sampling uncertainty. Intervals are coefficient estimates ± 1.96 standard errors (95% Wald confidence intervals). Stages failing the fitting criteria (at least five usable years, variation in temperature, and both survivors and deaths) are labelled as not estimable.</w:t>
      </w:r>
    </w:p>
    <w:bookmarkEnd w:id="22"/>
    <w:bookmarkStart w:id="23"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3"/>
    <w:bookmarkStart w:id="24" w:name="X47703751242b127b4a1e2b5ffd15841293c0ccc"/>
    <w:p>
      <w:pPr>
        <w:pStyle w:val="Heading2"/>
      </w:pPr>
      <w:r>
        <w:t xml:space="preserve">S1.8 Included versus excluded studies in the current target-study screen</w:t>
      </w:r>
    </w:p>
    <w:p>
      <w:pPr>
        <w:pStyle w:val="FirstParagraph"/>
      </w:pPr>
      <w:r>
        <w:t xml:space="preserve">To assess whether the studies retained for uncertainty analysis differed systematically from those screened but not retained, we compared the 23 post-2010 studies in the final dataset that still fall within the current reproducible COMPADRE screen against the remaining 69 screened studies. For each study, we summarized mean matrix dimension, mean stage-specific survival (the average of</w:t>
      </w:r>
      <w:r>
        <w:t xml:space="preserve"> </w:t>
      </w:r>
      <m:oMath>
        <m:r>
          <m:t>U</m:t>
        </m:r>
      </m:oMath>
      <w:r>
        <w:t xml:space="preserve">-column survival probabilities across matrices), and the proportions of stage-specific survival estimates equal to 0, equal to 1, or at either boundary. Dominant life form was defined as the modal</w:t>
      </w:r>
      <w:r>
        <w:t xml:space="preserve"> </w:t>
      </w:r>
      <w:r>
        <w:rPr>
          <w:rStyle w:val="VerbatimChar"/>
        </w:rPr>
        <w:t xml:space="preserve">OrganismType</w:t>
      </w:r>
      <w:r>
        <w:t xml:space="preserve"> </w:t>
      </w:r>
      <w:r>
        <w:t xml:space="preserve">among a study’s matrices. Three additional post-2010 studies in the final dataset do not fall within the current screen under COMPADRE version 6.26.3.0 (created Mar_11_2026) (</w:t>
      </w:r>
      <w:r>
        <w:rPr>
          <w:i/>
          <w:iCs/>
        </w:rPr>
        <w:t xml:space="preserve">Paeonia officinalis</w:t>
      </w:r>
      <w:r>
        <w:t xml:space="preserve">,</w:t>
      </w:r>
      <w:r>
        <w:t xml:space="preserve"> </w:t>
      </w:r>
      <w:r>
        <w:rPr>
          <w:i/>
          <w:iCs/>
        </w:rPr>
        <w:t xml:space="preserve">Tillandsia butzii</w:t>
      </w:r>
      <w:r>
        <w:t xml:space="preserve">,</w:t>
      </w:r>
      <w:r>
        <w:t xml:space="preserve"> </w:t>
      </w:r>
      <w:r>
        <w:rPr>
          <w:i/>
          <w:iCs/>
        </w:rPr>
        <w:t xml:space="preserve">Lantana camara</w:t>
      </w:r>
      <w:r>
        <w:t xml:space="preserve">), and five further studies were pre-2010 additions; these eight studies were excluded from this screen-based comparison.</w:t>
      </w:r>
    </w:p>
    <w:bookmarkEnd w:id="24"/>
    <w:bookmarkStart w:id="25" w:name="Xa94d0151380c98c8f0742d728782bf95f083eb5"/>
    <w:p>
      <w:pPr>
        <w:pStyle w:val="Heading2"/>
      </w:pPr>
      <w:r>
        <w:t xml:space="preserve">S1.9 Study and species identities in analysis 1</w:t>
      </w:r>
    </w:p>
    <w:p>
      <w:pPr>
        <w:pStyle w:val="FirstParagraph"/>
      </w:pPr>
      <w:r>
        <w:t xml:space="preserve">The analysis 1 life expectancy-shape models used 68 population-level matrix entries representing 25 species. This is a different subset from the boundary/small-sample audit in section S1.11. Study-level and species-level identities (including COMPADRE</w:t>
      </w:r>
      <w:r>
        <w:t xml:space="preserve"> </w:t>
      </w:r>
      <w:r>
        <w:rPr>
          <w:rStyle w:val="VerbatimChar"/>
        </w:rPr>
        <w:t xml:space="preserve">SpeciesAuthor</w:t>
      </w:r>
      <w:r>
        <w:t xml:space="preserve"> </w:t>
      </w:r>
      <w:r>
        <w:t xml:space="preserve">labels) are provided in Table S6.</w:t>
      </w:r>
    </w:p>
    <w:bookmarkEnd w:id="25"/>
    <w:bookmarkStart w:id="26" w:name="Xe17a52e6c92e8ef1d01ed7772a11f9653dc0919"/>
    <w:p>
      <w:pPr>
        <w:pStyle w:val="Heading2"/>
      </w:pPr>
      <w:r>
        <w:t xml:space="preserve">S1.10 Multisite robustness extension of analysis 2 (</w:t>
      </w:r>
      <w:r>
        <w:rPr>
          <w:i/>
          <w:iCs/>
        </w:rPr>
        <w:t xml:space="preserve">Astragalus scaphoides</w:t>
      </w:r>
      <w:r>
        <w:t xml:space="preserve">)</w:t>
      </w:r>
    </w:p>
    <w:p>
      <w:pPr>
        <w:pStyle w:val="FirstParagraph"/>
      </w:pPr>
      <w:r>
        <w:t xml:space="preserve">To evaluate whether the analysis 2 conclusions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as a supplementary robustness analysis.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compares model formulations within each site rather than isolating the contribution of uncertainty propagation.</w:t>
      </w:r>
    </w:p>
    <w:p>
      <w:pPr>
        <w:pStyle w:val="BodyText"/>
      </w:pPr>
      <w:r>
        <w:t xml:space="preserve">For stage-specific survival in this supplementary robustness analysis, we used the same pair of formulations as in analysis 2: an SSD-weighted quasibinomial point-estimate model (</w:t>
      </w:r>
      <m:oMath>
        <m:r>
          <m:rPr>
            <m:nor/>
            <m:scr m:val="monospace"/>
            <m:sty m:val="p"/>
          </m:rPr>
          <m:t>surv</m:t>
        </m:r>
        <m:r>
          <m:rPr>
            <m:sty m:val="p"/>
          </m:rPr>
          <m:t>∼</m:t>
        </m:r>
        <m:r>
          <m:rPr>
            <m:nor/>
            <m:scr m:val="monospace"/>
            <m:sty m:val="p"/>
          </m:rPr>
          <m:t>tmp</m:t>
        </m:r>
      </m:oMath>
      <w:r>
        <w:t xml:space="preserve">, weights from the stable stage distribution of each annual</w:t>
      </w:r>
      <w:r>
        <w:t xml:space="preserve"> </w:t>
      </w:r>
      <m:oMath>
        <m:r>
          <m:t>U</m:t>
        </m:r>
      </m:oMath>
      <w:r>
        <w:t xml:space="preserve"> </w:t>
      </w:r>
      <w:r>
        <w:t xml:space="preserve">matrix) and a binomial count model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 linear predictor and logit link are shared, but weighting and dispersion assumptions also differ, as described in section S1.6; the comparison therefore does not isolate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26"/>
    <w:bookmarkStart w:id="27" w:name="Xe9072593a476435e14aed5e55ee802bcf07fa9c"/>
    <w:p>
      <w:pPr>
        <w:pStyle w:val="Heading2"/>
      </w:pPr>
      <w:r>
        <w:t xml:space="preserve">S1.11 Boundary survival estimates and small stage-specific sample sizes in analysis 1</w:t>
      </w:r>
    </w:p>
    <w:p>
      <w:pPr>
        <w:pStyle w:val="FirstParagraph"/>
      </w:pPr>
      <w:r>
        <w:t xml:space="preserve">To assess whether the conditions most likely to distort point estimates were concentrated in particular parts of the analysis 1 dataset, we summarized a separate set of 68 population-level entries from 28 species with recovered stage counts by COMPADRE</w:t>
      </w:r>
      <w:r>
        <w:t xml:space="preserve"> </w:t>
      </w:r>
      <w:r>
        <w:rPr>
          <w:rStyle w:val="VerbatimChar"/>
        </w:rPr>
        <w:t xml:space="preserve">OrganismType</w:t>
      </w:r>
      <w:r>
        <w:t xml:space="preserve"> </w:t>
      </w:r>
      <w:r>
        <w:t xml:space="preserve">(used here as the available life-form grouping) and by broad matrix-dimension class (3-5 versus 6+ stages). For each population-level matrix, we recorded whether any stage-specific survival estimate lay exactly on the boundary (0 or 1), whether any stage had</w:t>
      </w:r>
      <w:r>
        <w:t xml:space="preserve"> </w:t>
      </w:r>
      <m:oMath>
        <m:r>
          <m:t>N</m:t>
        </m:r>
        <m:r>
          <m:rPr>
            <m:sty m:val="p"/>
          </m:rPr>
          <m:t>&lt;</m:t>
        </m:r>
        <m:r>
          <m:t>20</m:t>
        </m:r>
      </m:oMath>
      <w:r>
        <w:t xml:space="preserve"> </w:t>
      </w:r>
      <w:r>
        <w:t xml:space="preserve">or</w:t>
      </w:r>
      <w:r>
        <w:t xml:space="preserve"> </w:t>
      </w:r>
      <m:oMath>
        <m:r>
          <m:t>N</m:t>
        </m:r>
        <m:r>
          <m:rPr>
            <m:sty m:val="p"/>
          </m:rPr>
          <m:t>&lt;</m:t>
        </m:r>
        <m:r>
          <m:t>50</m:t>
        </m:r>
      </m:oMath>
      <w:r>
        <w:t xml:space="preserve">, and the minimum stage-specific sample size. This audit used unscaled</w:t>
      </w:r>
      <w:r>
        <w:t xml:space="preserve"> </w:t>
      </w:r>
      <m:oMath>
        <m:r>
          <m:t>U</m:t>
        </m:r>
      </m:oMath>
      <w:r>
        <w:t xml:space="preserve"> </w:t>
      </w:r>
      <w:r>
        <w:t xml:space="preserve">matrices, with exactly 100% survival in 22/68 entries, rather than the rescaled matrices and model subset described in the main Discussion. These summaries are descriptive and intended to identify where potentially fragile point estimates are concentrated in the analysed subset.</w:t>
      </w:r>
    </w:p>
    <w:bookmarkEnd w:id="27"/>
    <w:bookmarkStart w:id="28" w:name="Xbcc0c51d82b2bf49c697952fc977fc249429e0d"/>
    <w:p>
      <w:pPr>
        <w:pStyle w:val="Heading2"/>
      </w:pPr>
      <w:r>
        <w:t xml:space="preserve">S1.12 Displacement magnitude versus boundary survival structure</w:t>
      </w:r>
    </w:p>
    <w:p>
      <w:pPr>
        <w:pStyle w:val="FirstParagraph"/>
      </w:pPr>
      <w:r>
        <w:t xml:space="preserve">To examine factors associated with point-estimate displacement in analysis 1, we compared each population-level point estimate to the median of its sampling distribution for mature life expectancy and shape. We defined displacement magnitude as the absolute difference between the point estimate and the sampling-distribution median; for life expectancy, this was calculated on the</w:t>
      </w:r>
      <w:r>
        <w:t xml:space="preserve"> </w:t>
      </w:r>
      <m:oMath>
        <m:sSub>
          <m:e>
            <m:r>
              <m:rPr>
                <m:sty m:val="p"/>
              </m:rPr>
              <m:t>log</m:t>
            </m:r>
          </m:e>
          <m:sub>
            <m:r>
              <m:t>10</m:t>
            </m:r>
          </m:sub>
        </m:sSub>
      </m:oMath>
      <w:r>
        <w:t xml:space="preserve"> </w:t>
      </w:r>
      <w:r>
        <w:t xml:space="preserve">scale to reflect multiplicative discrepancies. We then related displacement magnitude to two predictors derived from the same population-level matrix: (i) the number of stage-specific survival estimates at the boundary (0 or 1), and (ii) the proportion of observed individuals belonging to boundary-survival stages, calculated from the recovered stage-specific sample sizes. We summarized these relationships with simple linear regressions and visualized them with scatter plots and fitted lines.</w:t>
      </w:r>
    </w:p>
    <w:bookmarkEnd w:id="28"/>
    <w:bookmarkStart w:id="29" w:name="Xf7ef802071fd8b0eb2240598c3d62456b26e111"/>
    <w:p>
      <w:pPr>
        <w:pStyle w:val="Heading2"/>
      </w:pPr>
      <w:r>
        <w:t xml:space="preserve">S1.13 Sensitivity to the quasi-stable-distribution truncation threshold</w:t>
      </w:r>
    </w:p>
    <w:p>
      <w:pPr>
        <w:pStyle w:val="FirstParagraph"/>
      </w:pPr>
      <w:r>
        <w:t xml:space="preserve">To assess whether the shape metric was sensitive to the truncation rule used to avoid artefactual mortality plateaus, we repeated the analysis 1 shape calculation using quasi-stable-distribution convergence thresholds of 0.5% and 5%, alongside the 1% threshold used in the main analysis. For each population-level MPM that remained estimable under all three thresholds, we recalculated the point estimate of shape and the bootstrap sampling-distribution summary using the threshold-specific truncation age</w:t>
      </w:r>
      <w:r>
        <w:t xml:space="preserve"> </w:t>
      </w:r>
      <m:oMath>
        <m:r>
          <m:t>q</m:t>
        </m:r>
      </m:oMath>
      <w:r>
        <w:t xml:space="preserve">. We then compared the resulting shape estimates to the 1% baseline using pairwise correlations, absolute differences, sign changes around zero, and shifts in</w:t>
      </w:r>
      <w:r>
        <w:t xml:space="preserve"> </w:t>
      </w:r>
      <m:oMath>
        <m:r>
          <m:t>q</m:t>
        </m:r>
      </m:oMath>
      <w:r>
        <w:t xml:space="preserve">.</w:t>
      </w:r>
    </w:p>
    <w:bookmarkEnd w:id="29"/>
    <w:bookmarkEnd w:id="30"/>
    <w:bookmarkStart w:id="36" w:name="supplementary-results"/>
    <w:p>
      <w:pPr>
        <w:pStyle w:val="Heading1"/>
      </w:pPr>
      <w:r>
        <w:t xml:space="preserve">Supplementary Results</w:t>
      </w:r>
    </w:p>
    <w:bookmarkStart w:id="31"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the</w:t>
      </w:r>
      <w:r>
        <w:t xml:space="preserve"> </w:t>
      </w:r>
      <w:r>
        <w:rPr>
          <w:i/>
          <w:iCs/>
        </w:rPr>
        <w:t xml:space="preserve">Astragalus</w:t>
      </w:r>
      <w:r>
        <w:t xml:space="preserve"> </w:t>
      </w:r>
      <w:r>
        <w:t xml:space="preserve">robustness analysis,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1"/>
    <w:bookmarkStart w:id="32" w:name="Xbaa2cca937d931f3cba9ff2d2cda76629e04fa8"/>
    <w:p>
      <w:pPr>
        <w:pStyle w:val="Heading2"/>
      </w:pPr>
      <w:r>
        <w:t xml:space="preserve">S2.2 Where do boundary estimates and small stage counts occur?</w:t>
      </w:r>
    </w:p>
    <w:p>
      <w:pPr>
        <w:pStyle w:val="FirstParagraph"/>
      </w:pPr>
      <w:r>
        <w:t xml:space="preserve">Among the 68 analysis 1 population-level entries with recovered stage counts, 42.6% contained at least one boundary survival estimate and 30.9% contained at least one stage estimated from fewer than 20 individuals. These conditions tended to co-occur: the population-level proportion of boundary survival estimates was positively correlated with the proportion of stages having</w:t>
      </w:r>
      <w:r>
        <w:t xml:space="preserve"> </w:t>
      </w:r>
      <m:oMath>
        <m:r>
          <m:t>N</m:t>
        </m:r>
        <m:r>
          <m:rPr>
            <m:sty m:val="p"/>
          </m:rPr>
          <m:t>&lt;</m:t>
        </m:r>
        <m:r>
          <m:t>20</m:t>
        </m:r>
      </m:oMath>
      <w:r>
        <w:t xml:space="preserve"> </w:t>
      </w:r>
      <w:r>
        <w:t xml:space="preserve">(</w:t>
      </w:r>
      <m:oMath>
        <m:r>
          <m:t>r</m:t>
        </m:r>
        <m:r>
          <m:rPr>
            <m:sty m:val="p"/>
          </m:rPr>
          <m:t>=</m:t>
        </m:r>
        <m:r>
          <m:t>0.35</m:t>
        </m:r>
      </m:oMath>
      <w:r>
        <w:t xml:space="preserve">).</w:t>
      </w:r>
    </w:p>
    <w:p>
      <w:pPr>
        <w:pStyle w:val="BodyText"/>
      </w:pPr>
      <w:r>
        <w:t xml:space="preserve">By life form, herbaceous perennials made up most of the analysed subset and showed the highest frequency among the well-represented categories, with 45.3% of entries containing at least one boundary survival estimate and 34.0% containing at least one stage with</w:t>
      </w:r>
      <w:r>
        <w:t xml:space="preserve"> </w:t>
      </w:r>
      <m:oMath>
        <m:r>
          <m:t>N</m:t>
        </m:r>
        <m:r>
          <m:rPr>
            <m:sty m:val="p"/>
          </m:rPr>
          <m:t>&lt;</m:t>
        </m:r>
        <m:r>
          <m:t>20</m:t>
        </m:r>
      </m:oMath>
      <w:r>
        <w:t xml:space="preserve">. Succulents showed lower corresponding values (22.2% and 22.2%, respectively). Woody life forms were too sparsely represented in the final subset for strong conclusions. By matrix dimension, both features were more common in 6+-stage matrices than in 3-5-stage matrices (61.1% versus 36.0% for any boundary estimate; 44.4% versus 26.0% for any stage with</w:t>
      </w:r>
      <w:r>
        <w:t xml:space="preserve"> </w:t>
      </w:r>
      <m:oMath>
        <m:r>
          <m:t>N</m:t>
        </m:r>
        <m:r>
          <m:rPr>
            <m:sty m:val="p"/>
          </m:rPr>
          <m:t>&lt;</m:t>
        </m:r>
        <m:r>
          <m:t>20</m:t>
        </m:r>
      </m:oMath>
      <w:r>
        <w:t xml:space="preserve">; Table S12).</w:t>
      </w:r>
    </w:p>
    <w:p>
      <w:pPr>
        <w:pStyle w:val="BodyText"/>
      </w:pPr>
      <w:r>
        <w:t xml:space="preserve">Boundary survival estimates can arise from finite sampling of discrete stage classes. Finer stage classes do not necessarily reduce these estimates and may leave fewer observations per class. Information sharing in fitted vital-rate models, such as those used to construct integral projection models, may reduce boundary estimates through smoothing rather than finer discretisation alone.</w:t>
      </w:r>
    </w:p>
    <w:bookmarkEnd w:id="32"/>
    <w:bookmarkStart w:id="33" w:name="X7f9bc76663c4cdccea08220fb8b2fd536e0535e"/>
    <w:p>
      <w:pPr>
        <w:pStyle w:val="Heading2"/>
      </w:pPr>
      <w:r>
        <w:t xml:space="preserve">S2.3 Does displacement increase with boundary survival structure?</w:t>
      </w:r>
    </w:p>
    <w:p>
      <w:pPr>
        <w:pStyle w:val="FirstParagraph"/>
      </w:pPr>
      <w:r>
        <w:t xml:space="preserve">Displacement magnitude increased with both measures of boundary-survival structure (Figure S3; Table S13). For shape, the absolute difference between the point estimate and the sampling-distribution median increased with the number of boundary survival stages (slope = 0.010, 95% CI [0.005, 0.016]) and with the proportion of individuals in boundary-survival stages (slope = 0.093, 95% CI [0.043, 0.143]). For mature life expectancy, the same pattern was evident on the</w:t>
      </w:r>
      <w:r>
        <w:t xml:space="preserve"> </w:t>
      </w:r>
      <m:oMath>
        <m:sSub>
          <m:e>
            <m:r>
              <m:rPr>
                <m:sty m:val="p"/>
              </m:rPr>
              <m:t>log</m:t>
            </m:r>
          </m:e>
          <m:sub>
            <m:r>
              <m:t>10</m:t>
            </m:r>
          </m:sub>
        </m:sSub>
      </m:oMath>
      <w:r>
        <w:t xml:space="preserve"> </w:t>
      </w:r>
      <w:r>
        <w:t xml:space="preserve">scale (number of boundary stages: slope = 0.062, 95% CI [0.029, 0.095]; proportion of individuals in boundary-survival stages: slope = 0.672, 95% CI [0.370, 0.974]). The fitted models explained a modest but non-trivial share of the among-matrix variation in displacement magnitude (</w:t>
      </w:r>
      <m:oMath>
        <m:sSup>
          <m:e>
            <m:r>
              <m:t>R</m:t>
            </m:r>
          </m:e>
          <m:sup>
            <m:r>
              <m:t>2</m:t>
            </m:r>
          </m:sup>
        </m:sSup>
        <m:r>
          <m:rPr>
            <m:sty m:val="p"/>
          </m:rPr>
          <m:t>=</m:t>
        </m:r>
        <m:r>
          <m:t>0.176</m:t>
        </m:r>
        <m:r>
          <m:rPr>
            <m:sty m:val="p"/>
          </m:rPr>
          <m:t>−</m:t>
        </m:r>
        <m:r>
          <m:t>0.242</m:t>
        </m:r>
      </m:oMath>
      <w:r>
        <w:t xml:space="preserve">). These associations are consistent with the proposed mechanism, but do not establish causality.</w:t>
      </w:r>
    </w:p>
    <w:bookmarkEnd w:id="33"/>
    <w:bookmarkStart w:id="34" w:name="Xca36f9ff4093d12ff246540ac5a05db4c7bd517"/>
    <w:p>
      <w:pPr>
        <w:pStyle w:val="Heading2"/>
      </w:pPr>
      <w:r>
        <w:t xml:space="preserve">S2.4 How sensitive are shape estimates to the truncation threshold?</w:t>
      </w:r>
    </w:p>
    <w:p>
      <w:pPr>
        <w:pStyle w:val="FirstParagraph"/>
      </w:pPr>
      <w:r>
        <w:t xml:space="preserve">In the 65 population-level entries for which shape was estimable under all three thresholds, the shape metric was highly stable to the quasi-stable-distribution truncation rule (Table S14; Figure S4). Relative to the 1% threshold used in the main analysis, the 0.5% threshold changed point estimates by a median absolute amount of 0.002 and sampling-distribution medians by 0.001. The more permissive 5% threshold produced somewhat larger but still modest shifts (median absolute changes 0.004 and 0.003, respectively), with only 2 point estimates changing sign relative to the 1% baseline. Those sign changes occurred only for populations whose baseline shape estimates were already very close to zero. These results indicate that shape estimates were generally stable across the thresholds tested. We did not refit the downstream regressions, so their sensitivity to threshold choice remains untested.</w:t>
      </w:r>
    </w:p>
    <w:bookmarkEnd w:id="34"/>
    <w:bookmarkStart w:id="35" w:name="X0b01ca79d9e4593467360b1d50abe8ce91f2738"/>
    <w:p>
      <w:pPr>
        <w:pStyle w:val="Heading2"/>
      </w:pPr>
      <w:r>
        <w:t xml:space="preserve">S2.5 Multisite robustness analysis in</w:t>
      </w:r>
      <w:r>
        <w:t xml:space="preserve"> </w:t>
      </w:r>
      <w:r>
        <w:rPr>
          <w:i/>
          <w:iCs/>
        </w:rPr>
        <w:t xml:space="preserve">Astragalus scaphoides</w:t>
      </w:r>
    </w:p>
    <w:p>
      <w:pPr>
        <w:pStyle w:val="FirstParagraph"/>
      </w:pPr>
      <w:r>
        <w:t xml:space="preserve">For recruitment, applying the analysis 2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than differences between model formulations (Figure S5). Across sites, we had 9-11 years of annual demographic records, with 8-10 years retained for model fitting after filtering (0-3 years excluded;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(Table S8). Monthly-lag coefficient profiles were likewise highly concordant between formulations, with within-site correlations of posterior medians ranging from 0.992 to 0.997 and a maximum lag-specific median difference of 0.042 (Figure S5). These results support the main-text conclusion from analysis 2 that climate-effect inference can be robust to transition-rate sampling uncertainty in this empirical setting.</w:t>
      </w:r>
    </w:p>
    <w:bookmarkEnd w:id="35"/>
    <w:bookmarkEnd w:id="36"/>
    <w:bookmarkStart w:id="37"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Che-Castaldo; Inouye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10.1890/ES11-00263.1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Frasera_speciosa_2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Multisite robustness-analysis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Multisite robustness-analysis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 “No weights” treats annual stage-specific survival proportions equally, whereas “SSD weights” 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Multisite robustness-analysis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p>
      <w:pPr>
        <w:pStyle w:val="BodyText"/>
      </w:pPr>
      <w:r>
        <w:t xml:space="preserve">Table S11. Comparison of screened target studies that were included versus excluded under the current reproducible COMPADRE-based screen. Numeric entries are study-level means ± SD; life-form entries are numbers of studies with percentages in parentheses. Included studies have a higher mean proportion of boundary survival estimates, especially estimates of exactly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840"/>
        <w:gridCol w:w="1510"/>
        <w:gridCol w:w="1510"/>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Excluded</w:t>
            </w:r>
          </w:p>
        </w:tc>
      </w:tr>
      <w:tr>
        <w:trPr>
          <w:trHeight w:val="60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Studies,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 ± 5.05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stage-specific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 ± 0.15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 ± 0.09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 ± 0.15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at the boundary (0 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 ± 0.17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 (58.0%)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(11.6%)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 (18.8%)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Palm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bl>
    <w:p>
      <w:r>
        <w:br w:type="page"/>
      </w:r>
    </w:p>
    <w:p>
      <w:pPr>
        <w:pStyle w:val="BodyText"/>
      </w:pPr>
      <w:r>
        <w:t xml:space="preserve">Table S12. Distribution of boundary survival estimates and small stage-specific sample sizes across analysis 1 population-level MPM entries, grouped by the COMPADRE life-form categories available for these studies and by broad matrix-dimension class. Percentages give the share of population entries with at least one boundary survival estimate or at least one stage with sample size below the stated threshold. Woody life-form categories are included for completeness but are sparsely represented in this subset.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3"/>
        <w:gridCol w:w="2563"/>
        <w:gridCol w:w="2416"/>
        <w:gridCol w:w="3871"/>
        <w:gridCol w:w="2960"/>
        <w:gridCol w:w="2960"/>
        <w:gridCol w:w="2734"/>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boundary survival estimate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20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50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minimum stage N</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Epiphyte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190.0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85.4</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w:t>
            </w:r>
          </w:p>
        </w:tc>
      </w:tr>
    </w:tbl>
    <w:p>
      <w:r>
        <w:br w:type="page"/>
      </w:r>
    </w:p>
    <w:p>
      <w:pPr>
        <w:pStyle w:val="BodyText"/>
      </w:pPr>
      <w:r>
        <w:t xml:space="preserve">Table S13. Linear models relating displacement magnitude in analysis 1 to boundary-survival predictors. Displacement is defined as the absolute difference between the point estimate and the median of the sampling distribution; life expectancy displacement is modelled on the log10 scale. Positive slopes indicate greater point-estimate displacement in matrices with more boundary survival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236"/>
        <w:gridCol w:w="5498"/>
        <w:gridCol w:w="2416"/>
        <w:gridCol w:w="973"/>
        <w:gridCol w:w="1756"/>
        <w:gridCol w:w="1206"/>
        <w:gridCol w:w="961"/>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[0.005, 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[0.029,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0.177</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[0.370, 0.974]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 1e-04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0.242</w:t>
            </w:r>
          </w:p>
        </w:tc>
      </w:tr>
    </w:tbl>
    <w:p>
      <w:r>
        <w:br w:type="page"/>
      </w:r>
    </w:p>
    <w:p>
      <w:pPr>
        <w:pStyle w:val="BodyText"/>
      </w:pPr>
      <w:r>
        <w:t xml:space="preserve">Table S14. Sensitivity of analysis 1 shape estimates to the quasi-stable-distribution truncation threshold used when calculating the shape metric. Comparisons are against the 1% threshold used in the main analysis, summarising the stability of shape estimates across the thresholds tested; downstream regressions were not refitted.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2416"/>
        <w:gridCol w:w="3272"/>
        <w:gridCol w:w="3191"/>
        <w:gridCol w:w="3912"/>
        <w:gridCol w:w="2885"/>
        <w:gridCol w:w="3484"/>
        <w:gridCol w:w="2184"/>
        <w:gridCol w:w="1475"/>
        <w:gridCol w:w="1646"/>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Correlation of point estimates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95th percentile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(sampling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Sign changes in 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Range of Δq</w:t>
            </w:r>
          </w:p>
        </w:tc>
      </w:tr>
      <w:tr>
        <w:trPr>
          <w:trHeight w:val="5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 vs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to 54</w:t>
            </w:r>
          </w:p>
        </w:tc>
      </w:tr>
      <w:tr>
        <w:trPr>
          <w:trHeight w:val="5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vs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-126 to 0</w:t>
            </w:r>
          </w:p>
        </w:tc>
      </w:tr>
    </w:tbl>
    <w:p>
      <w:r>
        <w:br w:type="page"/>
      </w:r>
    </w:p>
    <w:bookmarkEnd w:id="37"/>
    <w:bookmarkStart w:id="53" w:name="supplementary-figures"/>
    <w:p>
      <w:pPr>
        <w:pStyle w:val="Heading1"/>
      </w:pPr>
      <w:r>
        <w:t xml:space="preserve">Supplementary Figures</w:t>
      </w:r>
    </w:p>
    <w:p>
      <w:pPr>
        <w:pStyle w:val="FirstParagraph"/>
      </w:pPr>
      <w:r>
        <w:t xml:space="preserve">Figure S1.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pPr>
        <w:pStyle w:val="BodyText"/>
      </w:pPr>
      <w:r>
        <w:drawing>
          <wp:inline>
            <wp:extent cx="5727700" cy="3665728"/>
            <wp:effectExtent b="0" l="0" r="0" t="0"/>
            <wp:docPr descr="" title="" id="39" name="Picture"/>
            <a:graphic>
              <a:graphicData uri="http://schemas.openxmlformats.org/drawingml/2006/picture">
                <pic:pic>
                  <pic:nvPicPr>
                    <pic:cNvPr descr="sampling_uncertainty_mpm_supplement_files/d8529a6b665ec0f3e10c96d308c29bc378c62062.png" id="40" name="Picture"/>
                    <pic:cNvPicPr>
                      <a:picLocks noChangeArrowheads="1" noChangeAspect="1"/>
                    </pic:cNvPicPr>
                  </pic:nvPicPr>
                  <pic:blipFill>
                    <a:blip r:embed="rId38"/>
                    <a:stretch>
                      <a:fillRect/>
                    </a:stretch>
                  </pic:blipFill>
                  <pic:spPr bwMode="auto">
                    <a:xfrm>
                      <a:off x="0" y="0"/>
                      <a:ext cx="5727700" cy="3665728"/>
                    </a:xfrm>
                    <a:prstGeom prst="rect">
                      <a:avLst/>
                    </a:prstGeom>
                    <a:noFill/>
                    <a:ln w="9525">
                      <a:noFill/>
                      <a:headEnd/>
                      <a:tailEnd/>
                    </a:ln>
                  </pic:spPr>
                </pic:pic>
              </a:graphicData>
            </a:graphic>
          </wp:inline>
        </w:drawing>
      </w:r>
    </w:p>
    <w:p>
      <w:r>
        <w:br w:type="page"/>
      </w:r>
    </w:p>
    <w:p>
      <w:pPr>
        <w:pStyle w:val="BodyText"/>
      </w:pPr>
      <w:r>
        <w:t xml:space="preserve">Figure S2. Illustration of survivorship trajectories under boundary survival transitions. Age/time is shown in years. These cases can induce artefactual trajectory shapes and help explain mismatches between point estimates and uncertainty-aware summaries.</w:t>
      </w:r>
    </w:p>
    <w:p>
      <w:pPr>
        <w:pStyle w:val="BodyText"/>
      </w:pPr>
      <w:r>
        <w:drawing>
          <wp:inline>
            <wp:extent cx="5727700" cy="5498592"/>
            <wp:effectExtent b="0" l="0" r="0" t="0"/>
            <wp:docPr descr="" title="" id="42" name="Picture"/>
            <a:graphic>
              <a:graphicData uri="http://schemas.openxmlformats.org/drawingml/2006/picture">
                <pic:pic>
                  <pic:nvPicPr>
                    <pic:cNvPr descr="sampling_uncertainty_mpm_supplement_files/14ef09e30f575359848c2835f63766b001ca77ef.png" id="43" name="Picture"/>
                    <pic:cNvPicPr>
                      <a:picLocks noChangeArrowheads="1" noChangeAspect="1"/>
                    </pic:cNvPicPr>
                  </pic:nvPicPr>
                  <pic:blipFill>
                    <a:blip r:embed="rId41"/>
                    <a:stretch>
                      <a:fillRect/>
                    </a:stretch>
                  </pic:blipFill>
                  <pic:spPr bwMode="auto">
                    <a:xfrm>
                      <a:off x="0" y="0"/>
                      <a:ext cx="5727700" cy="5498592"/>
                    </a:xfrm>
                    <a:prstGeom prst="rect">
                      <a:avLst/>
                    </a:prstGeom>
                    <a:noFill/>
                    <a:ln w="9525">
                      <a:noFill/>
                      <a:headEnd/>
                      <a:tailEnd/>
                    </a:ln>
                  </pic:spPr>
                </pic:pic>
              </a:graphicData>
            </a:graphic>
          </wp:inline>
        </w:drawing>
      </w:r>
    </w:p>
    <w:p>
      <w:r>
        <w:br w:type="page"/>
      </w:r>
    </w:p>
    <w:p>
      <w:pPr>
        <w:pStyle w:val="BodyText"/>
      </w:pPr>
      <w:r>
        <w:t xml:space="preserve">Figure S3.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w:t>
      </w:r>
    </w:p>
    <w:p>
      <w:pPr>
        <w:pStyle w:val="BodyText"/>
      </w:pPr>
      <w:r>
        <w:drawing>
          <wp:inline>
            <wp:extent cx="5727700" cy="4455476"/>
            <wp:effectExtent b="0" l="0" r="0" t="0"/>
            <wp:docPr descr="" title="" id="45" name="Picture"/>
            <a:graphic>
              <a:graphicData uri="http://schemas.openxmlformats.org/drawingml/2006/picture">
                <pic:pic>
                  <pic:nvPicPr>
                    <pic:cNvPr descr="sampling_uncertainty_mpm_supplement_files/7a07c06ddb7e22240bd267f312370e06b58b05ad.png" id="46" name="Picture"/>
                    <pic:cNvPicPr>
                      <a:picLocks noChangeArrowheads="1" noChangeAspect="1"/>
                    </pic:cNvPicPr>
                  </pic:nvPicPr>
                  <pic:blipFill>
                    <a:blip r:embed="rId44"/>
                    <a:stretch>
                      <a:fillRect/>
                    </a:stretch>
                  </pic:blipFill>
                  <pic:spPr bwMode="auto">
                    <a:xfrm>
                      <a:off x="0" y="0"/>
                      <a:ext cx="5727700" cy="4455476"/>
                    </a:xfrm>
                    <a:prstGeom prst="rect">
                      <a:avLst/>
                    </a:prstGeom>
                    <a:noFill/>
                    <a:ln w="9525">
                      <a:noFill/>
                      <a:headEnd/>
                      <a:tailEnd/>
                    </a:ln>
                  </pic:spPr>
                </pic:pic>
              </a:graphicData>
            </a:graphic>
          </wp:inline>
        </w:drawing>
      </w:r>
    </w:p>
    <w:p>
      <w:r>
        <w:br w:type="page"/>
      </w:r>
    </w:p>
    <w:p>
      <w:pPr>
        <w:pStyle w:val="BodyText"/>
      </w:pPr>
      <w:r>
        <w:t xml:space="preserve">Figure S4.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w:t>
      </w:r>
    </w:p>
    <w:p>
      <w:pPr>
        <w:pStyle w:val="BodyText"/>
      </w:pPr>
      <w:r>
        <w:drawing>
          <wp:inline>
            <wp:extent cx="5727700" cy="2862502"/>
            <wp:effectExtent b="0" l="0" r="0" t="0"/>
            <wp:docPr descr="" title="" id="48" name="Picture"/>
            <a:graphic>
              <a:graphicData uri="http://schemas.openxmlformats.org/drawingml/2006/picture">
                <pic:pic>
                  <pic:nvPicPr>
                    <pic:cNvPr descr="sampling_uncertainty_mpm_supplement_files/f81ebd71ddc3db9e22297ad2a98c3b5420b48bc0.png" id="49" name="Picture"/>
                    <pic:cNvPicPr>
                      <a:picLocks noChangeArrowheads="1" noChangeAspect="1"/>
                    </pic:cNvPicPr>
                  </pic:nvPicPr>
                  <pic:blipFill>
                    <a:blip r:embed="rId47"/>
                    <a:stretch>
                      <a:fillRect/>
                    </a:stretch>
                  </pic:blipFill>
                  <pic:spPr bwMode="auto">
                    <a:xfrm>
                      <a:off x="0" y="0"/>
                      <a:ext cx="5727700" cy="2862502"/>
                    </a:xfrm>
                    <a:prstGeom prst="rect">
                      <a:avLst/>
                    </a:prstGeom>
                    <a:noFill/>
                    <a:ln w="9525">
                      <a:noFill/>
                      <a:headEnd/>
                      <a:tailEnd/>
                    </a:ln>
                  </pic:spPr>
                </pic:pic>
              </a:graphicData>
            </a:graphic>
          </wp:inline>
        </w:drawing>
      </w:r>
    </w:p>
    <w:p>
      <w:r>
        <w:br w:type="page"/>
      </w:r>
    </w:p>
    <w:p>
      <w:pPr>
        <w:pStyle w:val="BodyText"/>
      </w:pPr>
      <w:r>
        <w:t xml:space="preserve">Figure S5. Multisite robustness analysis for</w:t>
      </w:r>
      <w:r>
        <w:t xml:space="preserve"> </w:t>
      </w:r>
      <w:r>
        <w:rPr>
          <w:i/>
          <w:iCs/>
        </w:rPr>
        <w:t xml:space="preserve">Astragalus scaphoides</w:t>
      </w:r>
      <w:r>
        <w:t xml:space="preserve">. Columns show Haynes Creek (A, D, G), McDevitt Creek (B, E, H), and Sheep Corral Gulch (C, F, I). Rows show monthly-lag temperature coefficients (A-C), recruitment-temperature fits (D-F), and stage-specific survival-temperature coefficients (G-I) for point-estimate (purple) and uncertainty-aware (green) formulations. Recruitment is seedlings per reproductive plant, and stage-specific survival coefficients are on the logit scale (β). Survival intervals are 95% Wald confidence intervals; non-estimable stages are labelled rather than plotted. Differences between survival models reflect weighting and dispersion assumptions as well as the use of sample sizes. Recruitment results are closely aligned between formulations within sites.</w:t>
      </w:r>
    </w:p>
    <w:p>
      <w:pPr>
        <w:pStyle w:val="BodyText"/>
      </w:pPr>
      <w:r>
        <w:drawing>
          <wp:inline>
            <wp:extent cx="5727700" cy="4773682"/>
            <wp:effectExtent b="0" l="0" r="0" t="0"/>
            <wp:docPr descr="" title="" id="51" name="Picture"/>
            <a:graphic>
              <a:graphicData uri="http://schemas.openxmlformats.org/drawingml/2006/picture">
                <pic:pic>
                  <pic:nvPicPr>
                    <pic:cNvPr descr="sampling_uncertainty_mpm_supplement_files/07961aeadb3b8be6075e27c19a217a966c209c17.png" id="52" name="Picture"/>
                    <pic:cNvPicPr>
                      <a:picLocks noChangeArrowheads="1" noChangeAspect="1"/>
                    </pic:cNvPicPr>
                  </pic:nvPicPr>
                  <pic:blipFill>
                    <a:blip r:embed="rId50"/>
                    <a:stretch>
                      <a:fillRect/>
                    </a:stretch>
                  </pic:blipFill>
                  <pic:spPr bwMode="auto">
                    <a:xfrm>
                      <a:off x="0" y="0"/>
                      <a:ext cx="5727700" cy="4773682"/>
                    </a:xfrm>
                    <a:prstGeom prst="rect">
                      <a:avLst/>
                    </a:prstGeom>
                    <a:noFill/>
                    <a:ln w="9525">
                      <a:noFill/>
                      <a:headEnd/>
                      <a:tailEnd/>
                    </a:ln>
                  </pic:spPr>
                </pic:pic>
              </a:graphicData>
            </a:graphic>
          </wp:inline>
        </w:drawing>
      </w:r>
    </w:p>
    <w:p>
      <w:r>
        <w:br w:type="page"/>
      </w:r>
    </w:p>
    <w:bookmarkEnd w:id="53"/>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2026-09-21T04:45:09Z</dcterms:created>
  <dcterms:modified xsi:type="dcterms:W3CDTF">2026-09-21T04:45:09Z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