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sampling-to-other variance ratio,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providing direct quantitative support for the proposed mechanism.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made the temporal-variation caveat more prominent. In the Results we now state explicitly that, because sample sizes were pooled across years, the reported sampling-to-other variance ratios are conservative estimates of the true sampling-to-biological ratio. We have also added a sentence to the Results connecting this to the comparative senescence literature, noting that part of the apparent among-population variation in mortality trajectories may reflect sampling noise and temporal variation rather than only true underlying biological differences.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now address this concern directly, and more cleanly, through the new simulation study (Analysis 3). That analysis fits all three formulations to data with known truth: contrasting the Gaussian and Poisson point-estimate models isolates the effect of the structural change, while contrasting the Poisson point-estimate and Poisson uncertainty-aware models isolates the effect of uncertainty propagation.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have qualified the checklist accordingly. The thresholds are now presented explicitly as heuristics derived from a restricted and taxonomically narrow dataset of largely herbaceous perennials that are unlikely to apply universally, rather than as formally validated decision rules, and we have softened the corresponding claims about the robustness of integrated metrics such as λ.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We now report this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sets out the likelihood-based parametric bootstrap explicitly,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at all and therefore could not contribute to uncertainty-propagation analyses that require reconstructed sampling distributions.”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implemented bootstrap, death is resampled jointly with the living transitions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variance-component overview before the specific comparison. On balance we have retained the current overall order, because the variance-component summary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-0.053 to 0.017 under the point-estimate model and -0.017 to 0.038 under the sampling-uncertainty model: widths of 0.070 and 0.055, respectively (approximately 21%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figure colour scheme so that point estimates (purple) and sampling-distribution/uncertainty-aware summaries (green) are distinguished consistently across all main and supplementary figures, and the captions have been revised to match the plotted colours and symbols.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consistent with the other captions: it now states upfront that accounting for sampling uncertainty strengthens support for a positive life expectancy–shape relationship by shrinking and shifting the population-level estimates that drive the regression.</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added a sentence in the Supplementary Results noting that boundary survival estimates arise from finite sampling of discrete stage classes and are expected to be less frequent when stages are more finely or continuously resolved, as in integral projection models.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