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A1A2E"/>
          <w:sz w:val="52"/>
          <w:szCs w:val="52"/>
        </w:rPr>
        <w:t xml:space="preserve">Redo.com</w:t>
      </w:r>
    </w:p>
    <w:p>
      <w:pPr>
        <w:spacing w:after="40" w:before="0"/>
      </w:pPr>
      <w:r>
        <w:rPr>
          <w:rFonts w:ascii="Arial" w:cs="Arial" w:eastAsia="Arial" w:hAnsi="Arial"/>
          <w:color w:val="2C5F8A"/>
          <w:sz w:val="26"/>
          <w:szCs w:val="26"/>
        </w:rPr>
        <w:t xml:space="preserve">Discovery Call Brief  //  Nathan Curtis</w:t>
      </w:r>
    </w:p>
    <w:p>
      <w:pPr>
        <w:spacing w:after="240" w:before="0"/>
      </w:pPr>
      <w:r>
        <w:rPr>
          <w:rFonts w:ascii="Arial" w:cs="Arial" w:eastAsia="Arial" w:hAnsi="Arial"/>
          <w:color w:val="999999"/>
          <w:sz w:val="19"/>
          <w:szCs w:val="19"/>
        </w:rPr>
        <w:t xml:space="preserve">Prepared by Melissa Cedeno  |  June 19, 2026</w:t>
      </w:r>
    </w:p>
    <w:p>
      <w:pPr>
        <w:pBdr>
          <w:bottom w:val="single" w:color="2C5F8A" w:sz="4" w:space="1"/>
        </w:pBdr>
        <w:spacing w:after="120" w:before="120"/>
      </w:pPr>
    </w:p>
    <w:p>
      <w:pPr>
        <w:pStyle w:val="Heading1"/>
        <w:spacing w:after="120" w:before="320"/>
      </w:pPr>
      <w:r>
        <w:rPr>
          <w:rFonts w:ascii="Arial" w:cs="Arial" w:eastAsia="Arial" w:hAnsi="Arial"/>
          <w:b/>
          <w:bCs/>
          <w:color w:val="1A1A2E"/>
          <w:sz w:val="28"/>
          <w:szCs w:val="28"/>
        </w:rPr>
        <w:t xml:space="preserve">Company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EFF4FA" w:val="clear"/>
            <w:tcMar>
              <w:top w:type="dxa" w:w="80"/>
              <w:left w:type="dxa" w:w="140"/>
              <w:bottom w:type="dxa" w:w="80"/>
              <w:right w:type="dxa" w:w="140"/>
            </w:tcMar>
          </w:tcPr>
          <w:p>
            <w:r>
              <w:rPr>
                <w:rFonts w:ascii="Arial" w:cs="Arial" w:eastAsia="Arial" w:hAnsi="Arial"/>
                <w:b/>
                <w:bCs/>
                <w:color w:val="2C5F8A"/>
                <w:sz w:val="20"/>
                <w:szCs w:val="20"/>
              </w:rPr>
              <w:t xml:space="preserve">Company</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sz w:val="20"/>
                <w:szCs w:val="20"/>
              </w:rPr>
              <w:t xml:space="preserve">Redo (Redo Tech, Inc.)</w:t>
            </w:r>
          </w:p>
        </w:tc>
      </w:tr>
      <w:tr>
        <w:tc>
          <w:tcPr>
            <w:tcW w:type="dxa" w:w="2200"/>
            <w:tcBorders>
              <w:top w:val="single" w:color="E0E0E0" w:sz="1"/>
              <w:left w:val="single" w:color="E0E0E0" w:sz="1"/>
              <w:bottom w:val="single" w:color="E0E0E0" w:sz="1"/>
              <w:right w:val="single" w:color="E0E0E0" w:sz="1"/>
            </w:tcBorders>
            <w:shd w:fill="EFF4FA" w:val="clear"/>
            <w:tcMar>
              <w:top w:type="dxa" w:w="80"/>
              <w:left w:type="dxa" w:w="140"/>
              <w:bottom w:type="dxa" w:w="80"/>
              <w:right w:type="dxa" w:w="140"/>
            </w:tcMar>
          </w:tcPr>
          <w:p>
            <w:r>
              <w:rPr>
                <w:rFonts w:ascii="Arial" w:cs="Arial" w:eastAsia="Arial" w:hAnsi="Arial"/>
                <w:b/>
                <w:bCs/>
                <w:color w:val="2C5F8A"/>
                <w:sz w:val="20"/>
                <w:szCs w:val="20"/>
              </w:rPr>
              <w:t xml:space="preserve">Website</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sz w:val="20"/>
                <w:szCs w:val="20"/>
              </w:rPr>
              <w:t xml:space="preserve">redo.com</w:t>
            </w:r>
          </w:p>
        </w:tc>
      </w:tr>
      <w:tr>
        <w:tc>
          <w:tcPr>
            <w:tcW w:type="dxa" w:w="2200"/>
            <w:tcBorders>
              <w:top w:val="single" w:color="E0E0E0" w:sz="1"/>
              <w:left w:val="single" w:color="E0E0E0" w:sz="1"/>
              <w:bottom w:val="single" w:color="E0E0E0" w:sz="1"/>
              <w:right w:val="single" w:color="E0E0E0" w:sz="1"/>
            </w:tcBorders>
            <w:shd w:fill="EFF4FA" w:val="clear"/>
            <w:tcMar>
              <w:top w:type="dxa" w:w="80"/>
              <w:left w:type="dxa" w:w="140"/>
              <w:bottom w:type="dxa" w:w="80"/>
              <w:right w:type="dxa" w:w="140"/>
            </w:tcMar>
          </w:tcPr>
          <w:p>
            <w:r>
              <w:rPr>
                <w:rFonts w:ascii="Arial" w:cs="Arial" w:eastAsia="Arial" w:hAnsi="Arial"/>
                <w:b/>
                <w:bCs/>
                <w:color w:val="2C5F8A"/>
                <w:sz w:val="20"/>
                <w:szCs w:val="20"/>
              </w:rPr>
              <w:t xml:space="preserve">HQ</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sz w:val="20"/>
                <w:szCs w:val="20"/>
              </w:rPr>
              <w:t xml:space="preserve">Draper, Utah</w:t>
            </w:r>
          </w:p>
        </w:tc>
      </w:tr>
      <w:tr>
        <w:tc>
          <w:tcPr>
            <w:tcW w:type="dxa" w:w="2200"/>
            <w:tcBorders>
              <w:top w:val="single" w:color="E0E0E0" w:sz="1"/>
              <w:left w:val="single" w:color="E0E0E0" w:sz="1"/>
              <w:bottom w:val="single" w:color="E0E0E0" w:sz="1"/>
              <w:right w:val="single" w:color="E0E0E0" w:sz="1"/>
            </w:tcBorders>
            <w:shd w:fill="EFF4FA" w:val="clear"/>
            <w:tcMar>
              <w:top w:type="dxa" w:w="80"/>
              <w:left w:type="dxa" w:w="140"/>
              <w:bottom w:type="dxa" w:w="80"/>
              <w:right w:type="dxa" w:w="140"/>
            </w:tcMar>
          </w:tcPr>
          <w:p>
            <w:r>
              <w:rPr>
                <w:rFonts w:ascii="Arial" w:cs="Arial" w:eastAsia="Arial" w:hAnsi="Arial"/>
                <w:b/>
                <w:bCs/>
                <w:color w:val="2C5F8A"/>
                <w:sz w:val="20"/>
                <w:szCs w:val="20"/>
              </w:rPr>
              <w:t xml:space="preserve">Founded</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sz w:val="20"/>
                <w:szCs w:val="20"/>
              </w:rPr>
              <w:t xml:space="preserve">2022</w:t>
            </w:r>
          </w:p>
        </w:tc>
      </w:tr>
      <w:tr>
        <w:tc>
          <w:tcPr>
            <w:tcW w:type="dxa" w:w="2200"/>
            <w:tcBorders>
              <w:top w:val="single" w:color="E0E0E0" w:sz="1"/>
              <w:left w:val="single" w:color="E0E0E0" w:sz="1"/>
              <w:bottom w:val="single" w:color="E0E0E0" w:sz="1"/>
              <w:right w:val="single" w:color="E0E0E0" w:sz="1"/>
            </w:tcBorders>
            <w:shd w:fill="EFF4FA" w:val="clear"/>
            <w:tcMar>
              <w:top w:type="dxa" w:w="80"/>
              <w:left w:type="dxa" w:w="140"/>
              <w:bottom w:type="dxa" w:w="80"/>
              <w:right w:type="dxa" w:w="140"/>
            </w:tcMar>
          </w:tcPr>
          <w:p>
            <w:r>
              <w:rPr>
                <w:rFonts w:ascii="Arial" w:cs="Arial" w:eastAsia="Arial" w:hAnsi="Arial"/>
                <w:b/>
                <w:bCs/>
                <w:color w:val="2C5F8A"/>
                <w:sz w:val="20"/>
                <w:szCs w:val="20"/>
              </w:rPr>
              <w:t xml:space="preserve">Employees</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sz w:val="20"/>
                <w:szCs w:val="20"/>
              </w:rPr>
              <w:t xml:space="preserve">~178</w:t>
            </w:r>
          </w:p>
        </w:tc>
      </w:tr>
      <w:tr>
        <w:tc>
          <w:tcPr>
            <w:tcW w:type="dxa" w:w="2200"/>
            <w:tcBorders>
              <w:top w:val="single" w:color="E0E0E0" w:sz="1"/>
              <w:left w:val="single" w:color="E0E0E0" w:sz="1"/>
              <w:bottom w:val="single" w:color="E0E0E0" w:sz="1"/>
              <w:right w:val="single" w:color="E0E0E0" w:sz="1"/>
            </w:tcBorders>
            <w:shd w:fill="EFF4FA" w:val="clear"/>
            <w:tcMar>
              <w:top w:type="dxa" w:w="80"/>
              <w:left w:type="dxa" w:w="140"/>
              <w:bottom w:type="dxa" w:w="80"/>
              <w:right w:type="dxa" w:w="140"/>
            </w:tcMar>
          </w:tcPr>
          <w:p>
            <w:r>
              <w:rPr>
                <w:rFonts w:ascii="Arial" w:cs="Arial" w:eastAsia="Arial" w:hAnsi="Arial"/>
                <w:b/>
                <w:bCs/>
                <w:color w:val="2C5F8A"/>
                <w:sz w:val="20"/>
                <w:szCs w:val="20"/>
              </w:rPr>
              <w:t xml:space="preserve">Funding</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sz w:val="20"/>
                <w:szCs w:val="20"/>
              </w:rPr>
              <w:t xml:space="preserve">$75.8M raised; 2026 acquisition of Contextual (AI personalization)</w:t>
            </w:r>
          </w:p>
        </w:tc>
      </w:tr>
      <w:tr>
        <w:tc>
          <w:tcPr>
            <w:tcW w:type="dxa" w:w="2200"/>
            <w:tcBorders>
              <w:top w:val="single" w:color="E0E0E0" w:sz="1"/>
              <w:left w:val="single" w:color="E0E0E0" w:sz="1"/>
              <w:bottom w:val="single" w:color="E0E0E0" w:sz="1"/>
              <w:right w:val="single" w:color="E0E0E0" w:sz="1"/>
            </w:tcBorders>
            <w:shd w:fill="EFF4FA" w:val="clear"/>
            <w:tcMar>
              <w:top w:type="dxa" w:w="80"/>
              <w:left w:type="dxa" w:w="140"/>
              <w:bottom w:type="dxa" w:w="80"/>
              <w:right w:type="dxa" w:w="140"/>
            </w:tcMar>
          </w:tcPr>
          <w:p>
            <w:r>
              <w:rPr>
                <w:rFonts w:ascii="Arial" w:cs="Arial" w:eastAsia="Arial" w:hAnsi="Arial"/>
                <w:b/>
                <w:bCs/>
                <w:color w:val="2C5F8A"/>
                <w:sz w:val="20"/>
                <w:szCs w:val="20"/>
              </w:rPr>
              <w:t xml:space="preserve">CEO</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sz w:val="20"/>
                <w:szCs w:val="20"/>
              </w:rPr>
              <w:t xml:space="preserve">Sterling Snow (co-founder; previously BILL, Divvy, LogMeIn)</w:t>
            </w:r>
          </w:p>
        </w:tc>
      </w:tr>
      <w:tr>
        <w:tc>
          <w:tcPr>
            <w:tcW w:type="dxa" w:w="2200"/>
            <w:tcBorders>
              <w:top w:val="single" w:color="E0E0E0" w:sz="1"/>
              <w:left w:val="single" w:color="E0E0E0" w:sz="1"/>
              <w:bottom w:val="single" w:color="E0E0E0" w:sz="1"/>
              <w:right w:val="single" w:color="E0E0E0" w:sz="1"/>
            </w:tcBorders>
            <w:shd w:fill="EFF4FA" w:val="clear"/>
            <w:tcMar>
              <w:top w:type="dxa" w:w="80"/>
              <w:left w:type="dxa" w:w="140"/>
              <w:bottom w:type="dxa" w:w="80"/>
              <w:right w:type="dxa" w:w="140"/>
            </w:tcMar>
          </w:tcPr>
          <w:p>
            <w:r>
              <w:rPr>
                <w:rFonts w:ascii="Arial" w:cs="Arial" w:eastAsia="Arial" w:hAnsi="Arial"/>
                <w:b/>
                <w:bCs/>
                <w:color w:val="2C5F8A"/>
                <w:sz w:val="20"/>
                <w:szCs w:val="20"/>
              </w:rPr>
              <w:t xml:space="preserve">Stage</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sz w:val="20"/>
                <w:szCs w:val="20"/>
              </w:rPr>
              <w:t xml:space="preserve">Growth-stage SaaS  |  Forbes Cloud 100 Rising Stars 2025</w:t>
            </w:r>
          </w:p>
        </w:tc>
      </w:tr>
      <w:tr>
        <w:tc>
          <w:tcPr>
            <w:tcW w:type="dxa" w:w="2200"/>
            <w:tcBorders>
              <w:top w:val="single" w:color="E0E0E0" w:sz="1"/>
              <w:left w:val="single" w:color="E0E0E0" w:sz="1"/>
              <w:bottom w:val="single" w:color="E0E0E0" w:sz="1"/>
              <w:right w:val="single" w:color="E0E0E0" w:sz="1"/>
            </w:tcBorders>
            <w:shd w:fill="EFF4FA" w:val="clear"/>
            <w:tcMar>
              <w:top w:type="dxa" w:w="80"/>
              <w:left w:type="dxa" w:w="140"/>
              <w:bottom w:type="dxa" w:w="80"/>
              <w:right w:type="dxa" w:w="140"/>
            </w:tcMar>
          </w:tcPr>
          <w:p>
            <w:r>
              <w:rPr>
                <w:rFonts w:ascii="Arial" w:cs="Arial" w:eastAsia="Arial" w:hAnsi="Arial"/>
                <w:b/>
                <w:bCs/>
                <w:color w:val="2C5F8A"/>
                <w:sz w:val="20"/>
                <w:szCs w:val="20"/>
              </w:rPr>
              <w:t xml:space="preserve">Contact</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sz w:val="20"/>
                <w:szCs w:val="20"/>
              </w:rPr>
              <w:t xml:space="preserve">Nathan Curtis  |  Role TBD (verify on call)</w:t>
            </w:r>
          </w:p>
        </w:tc>
      </w:tr>
    </w:tbl>
    <w:p>
      <w:pPr>
        <w:spacing w:before="240"/>
      </w:pPr>
    </w:p>
    <w:p>
      <w:pPr>
        <w:pBdr>
          <w:bottom w:val="single" w:color="2C5F8A" w:sz="4" w:space="1"/>
        </w:pBdr>
        <w:spacing w:after="120" w:before="120"/>
      </w:pPr>
    </w:p>
    <w:p>
      <w:pPr>
        <w:pStyle w:val="Heading1"/>
        <w:spacing w:after="120" w:before="320"/>
      </w:pPr>
      <w:r>
        <w:rPr>
          <w:rFonts w:ascii="Arial" w:cs="Arial" w:eastAsia="Arial" w:hAnsi="Arial"/>
          <w:b/>
          <w:bCs/>
          <w:color w:val="1A1A2E"/>
          <w:sz w:val="28"/>
          <w:szCs w:val="28"/>
        </w:rPr>
        <w:t xml:space="preserve">What Redo Does</w:t>
      </w:r>
    </w:p>
    <w:p>
      <w:pPr>
        <w:spacing w:after="60" w:before="60"/>
      </w:pPr>
      <w:r>
        <w:rPr>
          <w:rFonts w:ascii="Arial" w:cs="Arial" w:eastAsia="Arial" w:hAnsi="Arial"/>
          <w:sz w:val="22"/>
          <w:szCs w:val="22"/>
        </w:rPr>
        <w:t xml:space="preserve">Redo is an all-in-one post-purchase platform for direct-to-consumer and Shopify-native ecommerce brands. Their core thesis: the moment after a customer buys is the highest-leverage window to drive retention, revenue, and loyalty — and most brands waste it.</w:t>
      </w:r>
    </w:p>
    <w:p>
      <w:pPr>
        <w:spacing w:before="100"/>
      </w:pPr>
    </w:p>
    <w:p>
      <w:pPr>
        <w:pStyle w:val="Heading2"/>
        <w:spacing w:after="80" w:before="240"/>
      </w:pPr>
      <w:r>
        <w:rPr>
          <w:rFonts w:ascii="Arial" w:cs="Arial" w:eastAsia="Arial" w:hAnsi="Arial"/>
          <w:b/>
          <w:bCs/>
          <w:color w:val="2C5F8A"/>
          <w:sz w:val="24"/>
          <w:szCs w:val="24"/>
        </w:rPr>
        <w:t xml:space="preserve">Core Product Suite</w:t>
      </w:r>
    </w:p>
    <w:p>
      <w:pPr>
        <w:pStyle w:val="ListParagraph"/>
        <w:numPr>
          <w:ilvl w:val="0"/>
          <w:numId w:val="2"/>
        </w:numPr>
        <w:spacing w:after="40" w:before="40"/>
      </w:pPr>
      <w:r>
        <w:rPr>
          <w:rFonts w:ascii="Arial" w:cs="Arial" w:eastAsia="Arial" w:hAnsi="Arial"/>
          <w:sz w:val="22"/>
          <w:szCs w:val="22"/>
        </w:rPr>
        <w:t xml:space="preserve">Returns &amp; Exchanges Management — branded returns portal, instant exchanges, and automated policies</w:t>
      </w:r>
    </w:p>
    <w:p>
      <w:pPr>
        <w:pStyle w:val="ListParagraph"/>
        <w:numPr>
          <w:ilvl w:val="0"/>
          <w:numId w:val="2"/>
        </w:numPr>
        <w:spacing w:after="40" w:before="40"/>
      </w:pPr>
      <w:r>
        <w:rPr>
          <w:rFonts w:ascii="Arial" w:cs="Arial" w:eastAsia="Arial" w:hAnsi="Arial"/>
          <w:sz w:val="22"/>
          <w:szCs w:val="22"/>
        </w:rPr>
        <w:t xml:space="preserve">Order Tracking — post-purchase branded tracking pages</w:t>
      </w:r>
    </w:p>
    <w:p>
      <w:pPr>
        <w:pStyle w:val="ListParagraph"/>
        <w:numPr>
          <w:ilvl w:val="0"/>
          <w:numId w:val="2"/>
        </w:numPr>
        <w:spacing w:after="40" w:before="40"/>
      </w:pPr>
      <w:r>
        <w:rPr>
          <w:rFonts w:ascii="Arial" w:cs="Arial" w:eastAsia="Arial" w:hAnsi="Arial"/>
          <w:sz w:val="22"/>
          <w:szCs w:val="22"/>
        </w:rPr>
        <w:t xml:space="preserve">Package Protection — merchant-funded shipping protection as a revenue layer</w:t>
      </w:r>
    </w:p>
    <w:p>
      <w:pPr>
        <w:pStyle w:val="ListParagraph"/>
        <w:numPr>
          <w:ilvl w:val="0"/>
          <w:numId w:val="2"/>
        </w:numPr>
        <w:spacing w:after="40" w:before="40"/>
      </w:pPr>
      <w:r>
        <w:rPr>
          <w:rFonts w:ascii="Arial" w:cs="Arial" w:eastAsia="Arial" w:hAnsi="Arial"/>
          <w:sz w:val="22"/>
          <w:szCs w:val="22"/>
        </w:rPr>
        <w:t xml:space="preserve">AI Customer Support — onsite and post-purchase AI chat trained on brand data</w:t>
      </w:r>
    </w:p>
    <w:p>
      <w:pPr>
        <w:pStyle w:val="ListParagraph"/>
        <w:numPr>
          <w:ilvl w:val="0"/>
          <w:numId w:val="2"/>
        </w:numPr>
        <w:spacing w:after="40" w:before="40"/>
      </w:pPr>
      <w:r>
        <w:rPr>
          <w:rFonts w:ascii="Arial" w:cs="Arial" w:eastAsia="Arial" w:hAnsi="Arial"/>
          <w:sz w:val="22"/>
          <w:szCs w:val="22"/>
        </w:rPr>
        <w:t xml:space="preserve">Fulfillment — built-in order fulfillment and inventory tooling</w:t>
      </w:r>
    </w:p>
    <w:p>
      <w:pPr>
        <w:pStyle w:val="ListParagraph"/>
        <w:numPr>
          <w:ilvl w:val="0"/>
          <w:numId w:val="2"/>
        </w:numPr>
        <w:spacing w:after="40" w:before="40"/>
      </w:pPr>
      <w:r>
        <w:rPr>
          <w:rFonts w:ascii="Arial" w:cs="Arial" w:eastAsia="Arial" w:hAnsi="Arial"/>
          <w:sz w:val="22"/>
          <w:szCs w:val="22"/>
        </w:rPr>
        <w:t xml:space="preserve">Email &amp; SMS Marketing — retention-focused messaging tied to post-purchase events</w:t>
      </w:r>
    </w:p>
    <w:p>
      <w:pPr>
        <w:spacing w:before="60"/>
      </w:pPr>
    </w:p>
    <w:p>
      <w:pPr>
        <w:spacing w:after="60" w:before="60"/>
      </w:pPr>
      <w:r>
        <w:rPr>
          <w:rFonts w:ascii="Arial" w:cs="Arial" w:eastAsia="Arial" w:hAnsi="Arial"/>
          <w:sz w:val="22"/>
          <w:szCs w:val="22"/>
        </w:rPr>
        <w:t xml:space="preserve">Their February 2026 acquisition of Contextual added AI-powered personalization, signaling a hard push toward 1:1 customer experiences at scale.</w:t>
      </w:r>
    </w:p>
    <w:p>
      <w:pPr>
        <w:spacing w:before="200"/>
      </w:pPr>
    </w:p>
    <w:p>
      <w:pPr>
        <w:pBdr>
          <w:bottom w:val="single" w:color="2C5F8A" w:sz="4" w:space="1"/>
        </w:pBdr>
        <w:spacing w:after="120" w:before="120"/>
      </w:pPr>
    </w:p>
    <w:p>
      <w:pPr>
        <w:pStyle w:val="Heading1"/>
        <w:spacing w:after="120" w:before="320"/>
      </w:pPr>
      <w:r>
        <w:rPr>
          <w:rFonts w:ascii="Arial" w:cs="Arial" w:eastAsia="Arial" w:hAnsi="Arial"/>
          <w:b/>
          <w:bCs/>
          <w:color w:val="1A1A2E"/>
          <w:sz w:val="28"/>
          <w:szCs w:val="28"/>
        </w:rPr>
        <w:t xml:space="preserve">Market Position &amp; Growth Signals</w:t>
      </w:r>
    </w:p>
    <w:p>
      <w:pPr>
        <w:pStyle w:val="ListParagraph"/>
        <w:numPr>
          <w:ilvl w:val="0"/>
          <w:numId w:val="2"/>
        </w:numPr>
        <w:spacing w:after="40" w:before="40"/>
      </w:pPr>
      <w:r>
        <w:rPr>
          <w:rFonts w:ascii="Arial" w:cs="Arial" w:eastAsia="Arial" w:hAnsi="Arial"/>
          <w:sz w:val="22"/>
          <w:szCs w:val="22"/>
        </w:rPr>
        <w:t xml:space="preserve">Named to Forbes Cloud 100 Rising Stars 2025 — highly selective, early-stage cloud recognition</w:t>
      </w:r>
    </w:p>
    <w:p>
      <w:pPr>
        <w:pStyle w:val="ListParagraph"/>
        <w:numPr>
          <w:ilvl w:val="0"/>
          <w:numId w:val="2"/>
        </w:numPr>
        <w:spacing w:after="40" w:before="40"/>
      </w:pPr>
      <w:r>
        <w:rPr>
          <w:rFonts w:ascii="Arial" w:cs="Arial" w:eastAsia="Arial" w:hAnsi="Arial"/>
          <w:sz w:val="22"/>
          <w:szCs w:val="22"/>
        </w:rPr>
        <w:t xml:space="preserve">$75.8M raised — well-funded and in active growth mode, likely investing in customer acquisition</w:t>
      </w:r>
    </w:p>
    <w:p>
      <w:pPr>
        <w:pStyle w:val="ListParagraph"/>
        <w:numPr>
          <w:ilvl w:val="0"/>
          <w:numId w:val="2"/>
        </w:numPr>
        <w:spacing w:after="40" w:before="40"/>
      </w:pPr>
      <w:r>
        <w:rPr>
          <w:rFonts w:ascii="Arial" w:cs="Arial" w:eastAsia="Arial" w:hAnsi="Arial"/>
          <w:sz w:val="22"/>
          <w:szCs w:val="22"/>
        </w:rPr>
        <w:t xml:space="preserve">Acquired Contextual in Feb 2026 — expanding AI capabilities and likely onboarding new enterprise customers with that tech</w:t>
      </w:r>
    </w:p>
    <w:p>
      <w:pPr>
        <w:pStyle w:val="ListParagraph"/>
        <w:numPr>
          <w:ilvl w:val="0"/>
          <w:numId w:val="2"/>
        </w:numPr>
        <w:spacing w:after="40" w:before="40"/>
      </w:pPr>
      <w:r>
        <w:rPr>
          <w:rFonts w:ascii="Arial" w:cs="Arial" w:eastAsia="Arial" w:hAnsi="Arial"/>
          <w:sz w:val="22"/>
          <w:szCs w:val="22"/>
        </w:rPr>
        <w:t xml:space="preserve">Attending NRF 2026 (Jan) as an exhibitor — signals they are actively selling to retailers and scaling BD</w:t>
      </w:r>
    </w:p>
    <w:p>
      <w:pPr>
        <w:pStyle w:val="ListParagraph"/>
        <w:numPr>
          <w:ilvl w:val="0"/>
          <w:numId w:val="2"/>
        </w:numPr>
        <w:spacing w:after="40" w:before="40"/>
      </w:pPr>
      <w:r>
        <w:rPr>
          <w:rFonts w:ascii="Arial" w:cs="Arial" w:eastAsia="Arial" w:hAnsi="Arial"/>
          <w:sz w:val="22"/>
          <w:szCs w:val="22"/>
        </w:rPr>
        <w:t xml:space="preserve">Competing in a crowded space: Happy Returns (UPS), Loop Returns, AfterShip — differentiation via AI is their wedge</w:t>
      </w:r>
    </w:p>
    <w:p>
      <w:pPr>
        <w:pStyle w:val="ListParagraph"/>
        <w:numPr>
          <w:ilvl w:val="0"/>
          <w:numId w:val="2"/>
        </w:numPr>
        <w:spacing w:after="40" w:before="40"/>
      </w:pPr>
      <w:r>
        <w:rPr>
          <w:rFonts w:ascii="Arial" w:cs="Arial" w:eastAsia="Arial" w:hAnsi="Arial"/>
          <w:sz w:val="22"/>
          <w:szCs w:val="22"/>
        </w:rPr>
        <w:t xml:space="preserve">Their stated marketing strategy leans on organic content and SEO heavily — they publish returns stats guides, best-of lists, etc. to rank for mid-funnel queries</w:t>
      </w:r>
    </w:p>
    <w:p>
      <w:pPr>
        <w:spacing w:before="200"/>
      </w:pPr>
    </w:p>
    <w:p>
      <w:pPr>
        <w:pBdr>
          <w:bottom w:val="single" w:color="2C5F8A" w:sz="4" w:space="1"/>
        </w:pBdr>
        <w:spacing w:after="120" w:before="120"/>
      </w:pPr>
    </w:p>
    <w:p>
      <w:pPr>
        <w:pStyle w:val="Heading1"/>
        <w:spacing w:after="120" w:before="320"/>
      </w:pPr>
      <w:r>
        <w:rPr>
          <w:rFonts w:ascii="Arial" w:cs="Arial" w:eastAsia="Arial" w:hAnsi="Arial"/>
          <w:b/>
          <w:bCs/>
          <w:color w:val="1A1A2E"/>
          <w:sz w:val="28"/>
          <w:szCs w:val="28"/>
        </w:rPr>
        <w:t xml:space="preserve">Where EmberTribe Fits</w:t>
      </w:r>
    </w:p>
    <w:p>
      <w:pPr>
        <w:spacing w:after="60" w:before="60"/>
      </w:pPr>
      <w:r>
        <w:rPr>
          <w:rFonts w:ascii="Arial" w:cs="Arial" w:eastAsia="Arial" w:hAnsi="Arial"/>
          <w:sz w:val="22"/>
          <w:szCs w:val="22"/>
        </w:rPr>
        <w:t xml:space="preserve">Redo is a growth-stage B2B SaaS selling to ecommerce brands. Their buyer is a Head of Ecommerce, VP Operations, or founder at a DTC brand doing $5M-$100M+ in revenue. That buyer lives on LinkedIn, reads industry newsletters, and responds to ROI-driven case studies. Here is where EmberTribe has a strong pitch:</w:t>
      </w:r>
    </w:p>
    <w:p>
      <w:pPr>
        <w:spacing w:before="120"/>
      </w:pPr>
    </w:p>
    <w:p>
      <w:pPr>
        <w:pStyle w:val="Heading2"/>
        <w:spacing w:after="80" w:before="240"/>
      </w:pPr>
      <w:r>
        <w:rPr>
          <w:rFonts w:ascii="Arial" w:cs="Arial" w:eastAsia="Arial" w:hAnsi="Arial"/>
          <w:b/>
          <w:bCs/>
          <w:color w:val="2C5F8A"/>
          <w:sz w:val="24"/>
          <w:szCs w:val="24"/>
        </w:rPr>
        <w:t xml:space="preserve">1. Paid Social (LinkedIn + Meta)</w:t>
      </w:r>
    </w:p>
    <w:p>
      <w:pPr>
        <w:spacing w:after="60" w:before="60"/>
      </w:pPr>
      <w:r>
        <w:rPr>
          <w:rFonts w:ascii="Arial" w:cs="Arial" w:eastAsia="Arial" w:hAnsi="Arial"/>
          <w:sz w:val="22"/>
          <w:szCs w:val="22"/>
        </w:rPr>
        <w:t xml:space="preserve">Their ICP is a DTC brand operator — reachable on Meta via interest/behavior targeting (Shopify, ecom stack) and on LinkedIn by job title (Director of Ecommerce, Head of Operations, Shopify store owner). Paid social is likely underleveraged if they are leaning organic. This is the strongest initial pitch.</w:t>
      </w:r>
    </w:p>
    <w:p>
      <w:pPr>
        <w:spacing w:before="100"/>
      </w:pPr>
    </w:p>
    <w:p>
      <w:pPr>
        <w:pStyle w:val="Heading2"/>
        <w:spacing w:after="80" w:before="240"/>
      </w:pPr>
      <w:r>
        <w:rPr>
          <w:rFonts w:ascii="Arial" w:cs="Arial" w:eastAsia="Arial" w:hAnsi="Arial"/>
          <w:b/>
          <w:bCs/>
          <w:color w:val="2C5F8A"/>
          <w:sz w:val="24"/>
          <w:szCs w:val="24"/>
        </w:rPr>
        <w:t xml:space="preserve">2. Paid Search / Google Ads</w:t>
      </w:r>
    </w:p>
    <w:p>
      <w:pPr>
        <w:spacing w:after="60" w:before="60"/>
      </w:pPr>
      <w:r>
        <w:rPr>
          <w:rFonts w:ascii="Arial" w:cs="Arial" w:eastAsia="Arial" w:hAnsi="Arial"/>
          <w:sz w:val="22"/>
          <w:szCs w:val="22"/>
        </w:rPr>
        <w:t xml:space="preserve">High-intent searches like 'best returns management software', 'shopify returns app', 'ecommerce exchange automation' are active buying signals. Competitors are bidding. If Redo is not maximizing paid search, there is immediate revenue being left on the table.</w:t>
      </w:r>
    </w:p>
    <w:p>
      <w:pPr>
        <w:spacing w:before="100"/>
      </w:pPr>
    </w:p>
    <w:p>
      <w:pPr>
        <w:pStyle w:val="Heading2"/>
        <w:spacing w:after="80" w:before="240"/>
      </w:pPr>
      <w:r>
        <w:rPr>
          <w:rFonts w:ascii="Arial" w:cs="Arial" w:eastAsia="Arial" w:hAnsi="Arial"/>
          <w:b/>
          <w:bCs/>
          <w:color w:val="2C5F8A"/>
          <w:sz w:val="24"/>
          <w:szCs w:val="24"/>
        </w:rPr>
        <w:t xml:space="preserve">3. Demand Generation Strategy</w:t>
      </w:r>
    </w:p>
    <w:p>
      <w:pPr>
        <w:spacing w:after="60" w:before="60"/>
      </w:pPr>
      <w:r>
        <w:rPr>
          <w:rFonts w:ascii="Arial" w:cs="Arial" w:eastAsia="Arial" w:hAnsi="Arial"/>
          <w:sz w:val="22"/>
          <w:szCs w:val="22"/>
        </w:rPr>
        <w:t xml:space="preserve">With a platform that spans returns, fulfillment, AI, and marketing — Redo may be struggling with a fragmented message. EmberTribe can help them tighten the top-of-funnel narrative and build campaigns around their AI differentiation post-Contextual acquisition.</w:t>
      </w:r>
    </w:p>
    <w:p>
      <w:pPr>
        <w:spacing w:before="100"/>
      </w:pPr>
    </w:p>
    <w:p>
      <w:pPr>
        <w:pStyle w:val="Heading2"/>
        <w:spacing w:after="80" w:before="240"/>
      </w:pPr>
      <w:r>
        <w:rPr>
          <w:rFonts w:ascii="Arial" w:cs="Arial" w:eastAsia="Arial" w:hAnsi="Arial"/>
          <w:b/>
          <w:bCs/>
          <w:color w:val="2C5F8A"/>
          <w:sz w:val="24"/>
          <w:szCs w:val="24"/>
        </w:rPr>
        <w:t xml:space="preserve">4. Retargeting &amp; Pipeline Acceleration</w:t>
      </w:r>
    </w:p>
    <w:p>
      <w:pPr>
        <w:spacing w:after="60" w:before="60"/>
      </w:pPr>
      <w:r>
        <w:rPr>
          <w:rFonts w:ascii="Arial" w:cs="Arial" w:eastAsia="Arial" w:hAnsi="Arial"/>
          <w:sz w:val="22"/>
          <w:szCs w:val="22"/>
        </w:rPr>
        <w:t xml:space="preserve">Given their sales cycle is B2B SaaS (demos, trials, merchant onboarding), retargeting warm audiences from website traffic and content engagement with case study and ROI ads can compress time-to-close — a natural fit for EmberTribe's playbook.</w:t>
      </w:r>
    </w:p>
    <w:p>
      <w:pPr>
        <w:spacing w:before="100"/>
      </w:pPr>
    </w:p>
    <w:p>
      <w:pPr>
        <w:pStyle w:val="Heading2"/>
        <w:spacing w:after="80" w:before="240"/>
      </w:pPr>
      <w:r>
        <w:rPr>
          <w:rFonts w:ascii="Arial" w:cs="Arial" w:eastAsia="Arial" w:hAnsi="Arial"/>
          <w:b/>
          <w:bCs/>
          <w:color w:val="2C5F8A"/>
          <w:sz w:val="24"/>
          <w:szCs w:val="24"/>
        </w:rPr>
        <w:t xml:space="preserve">5. (Secondary) SEO / Content</w:t>
      </w:r>
    </w:p>
    <w:p>
      <w:pPr>
        <w:spacing w:after="60" w:before="60"/>
      </w:pPr>
      <w:r>
        <w:rPr>
          <w:rFonts w:ascii="Arial" w:cs="Arial" w:eastAsia="Arial" w:hAnsi="Arial"/>
          <w:sz w:val="22"/>
          <w:szCs w:val="22"/>
        </w:rPr>
        <w:t xml:space="preserve">They already publish content aggressively (returns stats, guides, best-of). There may be an opportunity to layer paid amplification on top of their organic content or identify keyword gaps — but lead with paid since that is where you have the clearest ROI story.</w:t>
      </w:r>
    </w:p>
    <w:p>
      <w:pPr>
        <w:spacing w:before="200"/>
      </w:pPr>
    </w:p>
    <w:p>
      <w:pPr>
        <w:pBdr>
          <w:bottom w:val="single" w:color="2C5F8A" w:sz="4" w:space="1"/>
        </w:pBdr>
        <w:spacing w:after="120" w:before="120"/>
      </w:pPr>
    </w:p>
    <w:p>
      <w:pPr>
        <w:pStyle w:val="Heading1"/>
        <w:spacing w:after="120" w:before="320"/>
      </w:pPr>
      <w:r>
        <w:rPr>
          <w:rFonts w:ascii="Arial" w:cs="Arial" w:eastAsia="Arial" w:hAnsi="Arial"/>
          <w:b/>
          <w:bCs/>
          <w:color w:val="1A1A2E"/>
          <w:sz w:val="28"/>
          <w:szCs w:val="28"/>
        </w:rPr>
        <w:t xml:space="preserve">Your Positioning Angle</w:t>
      </w:r>
    </w:p>
    <w:p>
      <w:pPr>
        <w:spacing w:after="60" w:before="60"/>
      </w:pPr>
      <w:r>
        <w:rPr>
          <w:rFonts w:ascii="Arial" w:cs="Arial" w:eastAsia="Arial" w:hAnsi="Arial"/>
          <w:sz w:val="22"/>
          <w:szCs w:val="22"/>
        </w:rPr>
        <w:t xml:space="preserve">Lead with the acquisition angle: Redo just brought in AI personalization via Contextual. That means a new ICP expansion, new messaging needs, and a likely push to acquire customers who want AI-forward post-purchase tools. They need paid programs that can move fast alongside that growth story.</w:t>
      </w:r>
    </w:p>
    <w:p>
      <w:pPr>
        <w:spacing w:before="80"/>
      </w:pPr>
    </w:p>
    <w:p>
      <w:pPr>
        <w:spacing w:after="60" w:before="60"/>
      </w:pPr>
      <w:r>
        <w:rPr>
          <w:rFonts w:ascii="Arial" w:cs="Arial" w:eastAsia="Arial" w:hAnsi="Arial"/>
          <w:sz w:val="22"/>
          <w:szCs w:val="22"/>
        </w:rPr>
        <w:t xml:space="preserve">Second angle: their organic content is strong — but organic does not scale fast enough for a company at their funding stage. EmberTribe accelerates what is already working.</w:t>
      </w:r>
    </w:p>
    <w:p>
      <w:pPr>
        <w:spacing w:before="200"/>
      </w:pPr>
    </w:p>
    <w:p>
      <w:pPr>
        <w:pBdr>
          <w:bottom w:val="single" w:color="2C5F8A" w:sz="4" w:space="1"/>
        </w:pBdr>
        <w:spacing w:after="120" w:before="120"/>
      </w:pPr>
    </w:p>
    <w:p>
      <w:pPr>
        <w:pStyle w:val="Heading1"/>
        <w:spacing w:after="120" w:before="320"/>
      </w:pPr>
      <w:r>
        <w:rPr>
          <w:rFonts w:ascii="Arial" w:cs="Arial" w:eastAsia="Arial" w:hAnsi="Arial"/>
          <w:b/>
          <w:bCs/>
          <w:color w:val="1A1A2E"/>
          <w:sz w:val="28"/>
          <w:szCs w:val="28"/>
        </w:rPr>
        <w:t xml:space="preserve">Discovery Questions to Ask Nathan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960"/>
      </w:tblGrid>
      <w:tr>
        <w:tc>
          <w:tcPr>
            <w:tcW w:type="dxa" w:w="400"/>
            <w:tcBorders>
              <w:top w:val="single" w:color="E0E0E0" w:sz="1"/>
              <w:left w:val="single" w:color="E0E0E0" w:sz="1"/>
              <w:bottom w:val="single" w:color="E0E0E0" w:sz="1"/>
              <w:right w:val="single" w:color="E0E0E0"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5000"/>
            <w:tcBorders>
              <w:top w:val="single" w:color="E0E0E0" w:sz="1"/>
              <w:left w:val="single" w:color="E0E0E0" w:sz="1"/>
              <w:bottom w:val="single" w:color="E0E0E0" w:sz="1"/>
              <w:right w:val="single" w:color="E0E0E0"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3960"/>
            <w:tcBorders>
              <w:top w:val="single" w:color="E0E0E0" w:sz="1"/>
              <w:left w:val="single" w:color="E0E0E0" w:sz="1"/>
              <w:bottom w:val="single" w:color="E0E0E0" w:sz="1"/>
              <w:right w:val="single" w:color="E0E0E0"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Why You're Asking</w:t>
            </w:r>
          </w:p>
        </w:tc>
      </w:tr>
      <w:tr>
        <w:tc>
          <w:tcPr>
            <w:tcW w:type="dxa" w:w="400"/>
            <w:tcBorders>
              <w:top w:val="single" w:color="E0E0E0" w:sz="1"/>
              <w:left w:val="single" w:color="E0E0E0" w:sz="1"/>
              <w:bottom w:val="single" w:color="E0E0E0" w:sz="1"/>
              <w:right w:val="single" w:color="E0E0E0" w:sz="1"/>
            </w:tcBorders>
            <w:shd w:fill="2C5F8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w:t>
            </w:r>
          </w:p>
        </w:tc>
        <w:tc>
          <w:tcPr>
            <w:tcW w:type="dxa" w:w="5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sz w:val="20"/>
                <w:szCs w:val="20"/>
              </w:rPr>
              <w:t xml:space="preserve">What does your current paid media mix look like — and what channels are you actively investing in?</w:t>
            </w:r>
          </w:p>
        </w:tc>
        <w:tc>
          <w:tcPr>
            <w:tcW w:type="dxa" w:w="3960"/>
            <w:tcBorders>
              <w:top w:val="single" w:color="E0E0E0" w:sz="1"/>
              <w:left w:val="single" w:color="E0E0E0" w:sz="1"/>
              <w:bottom w:val="single" w:color="E0E0E0" w:sz="1"/>
              <w:right w:val="single" w:color="E0E0E0" w:sz="1"/>
            </w:tcBorders>
            <w:shd w:fill="F7F9FC" w:val="clear"/>
            <w:tcMar>
              <w:top w:type="dxa" w:w="80"/>
              <w:left w:type="dxa" w:w="140"/>
              <w:bottom w:type="dxa" w:w="80"/>
              <w:right w:type="dxa" w:w="140"/>
            </w:tcMar>
          </w:tcPr>
          <w:p>
            <w:r>
              <w:rPr>
                <w:rFonts w:ascii="Arial" w:cs="Arial" w:eastAsia="Arial" w:hAnsi="Arial"/>
                <w:color w:val="555555"/>
                <w:sz w:val="19"/>
                <w:szCs w:val="19"/>
              </w:rPr>
              <w:t xml:space="preserve">Identifies white space. If they say mostly organic/content, paid social and search are your in.</w:t>
            </w:r>
          </w:p>
        </w:tc>
      </w:tr>
      <w:tr>
        <w:tc>
          <w:tcPr>
            <w:tcW w:type="dxa" w:w="400"/>
            <w:tcBorders>
              <w:top w:val="single" w:color="E0E0E0" w:sz="1"/>
              <w:left w:val="single" w:color="E0E0E0" w:sz="1"/>
              <w:bottom w:val="single" w:color="E0E0E0" w:sz="1"/>
              <w:right w:val="single" w:color="E0E0E0" w:sz="1"/>
            </w:tcBorders>
            <w:shd w:fill="2C5F8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w:t>
            </w:r>
          </w:p>
        </w:tc>
        <w:tc>
          <w:tcPr>
            <w:tcW w:type="dxa" w:w="5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sz w:val="20"/>
                <w:szCs w:val="20"/>
              </w:rPr>
              <w:t xml:space="preserve">Who is your target customer right now — and has the Contextual acquisition changed how you're thinking about ICP?</w:t>
            </w:r>
          </w:p>
        </w:tc>
        <w:tc>
          <w:tcPr>
            <w:tcW w:type="dxa" w:w="3960"/>
            <w:tcBorders>
              <w:top w:val="single" w:color="E0E0E0" w:sz="1"/>
              <w:left w:val="single" w:color="E0E0E0" w:sz="1"/>
              <w:bottom w:val="single" w:color="E0E0E0" w:sz="1"/>
              <w:right w:val="single" w:color="E0E0E0" w:sz="1"/>
            </w:tcBorders>
            <w:shd w:fill="F7F9FC" w:val="clear"/>
            <w:tcMar>
              <w:top w:type="dxa" w:w="80"/>
              <w:left w:type="dxa" w:w="140"/>
              <w:bottom w:type="dxa" w:w="80"/>
              <w:right w:type="dxa" w:w="140"/>
            </w:tcMar>
          </w:tcPr>
          <w:p>
            <w:r>
              <w:rPr>
                <w:rFonts w:ascii="Arial" w:cs="Arial" w:eastAsia="Arial" w:hAnsi="Arial"/>
                <w:color w:val="555555"/>
                <w:sz w:val="19"/>
                <w:szCs w:val="19"/>
              </w:rPr>
              <w:t xml:space="preserve">Signals whether they're expanding upmarket or into new verticals, which shapes campaign strategy.</w:t>
            </w:r>
          </w:p>
        </w:tc>
      </w:tr>
      <w:tr>
        <w:tc>
          <w:tcPr>
            <w:tcW w:type="dxa" w:w="400"/>
            <w:tcBorders>
              <w:top w:val="single" w:color="E0E0E0" w:sz="1"/>
              <w:left w:val="single" w:color="E0E0E0" w:sz="1"/>
              <w:bottom w:val="single" w:color="E0E0E0" w:sz="1"/>
              <w:right w:val="single" w:color="E0E0E0" w:sz="1"/>
            </w:tcBorders>
            <w:shd w:fill="2C5F8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3</w:t>
            </w:r>
          </w:p>
        </w:tc>
        <w:tc>
          <w:tcPr>
            <w:tcW w:type="dxa" w:w="5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sz w:val="20"/>
                <w:szCs w:val="20"/>
              </w:rPr>
              <w:t xml:space="preserve">What does your sales motion look like — inbound demo requests, outbound, PLG, or a mix?</w:t>
            </w:r>
          </w:p>
        </w:tc>
        <w:tc>
          <w:tcPr>
            <w:tcW w:type="dxa" w:w="3960"/>
            <w:tcBorders>
              <w:top w:val="single" w:color="E0E0E0" w:sz="1"/>
              <w:left w:val="single" w:color="E0E0E0" w:sz="1"/>
              <w:bottom w:val="single" w:color="E0E0E0" w:sz="1"/>
              <w:right w:val="single" w:color="E0E0E0" w:sz="1"/>
            </w:tcBorders>
            <w:shd w:fill="F7F9FC" w:val="clear"/>
            <w:tcMar>
              <w:top w:type="dxa" w:w="80"/>
              <w:left w:type="dxa" w:w="140"/>
              <w:bottom w:type="dxa" w:w="80"/>
              <w:right w:type="dxa" w:w="140"/>
            </w:tcMar>
          </w:tcPr>
          <w:p>
            <w:r>
              <w:rPr>
                <w:rFonts w:ascii="Arial" w:cs="Arial" w:eastAsia="Arial" w:hAnsi="Arial"/>
                <w:color w:val="555555"/>
                <w:sz w:val="19"/>
                <w:szCs w:val="19"/>
              </w:rPr>
              <w:t xml:space="preserve">Tells you where the funnel is breaking and where paid can have the most leverage.</w:t>
            </w:r>
          </w:p>
        </w:tc>
      </w:tr>
      <w:tr>
        <w:tc>
          <w:tcPr>
            <w:tcW w:type="dxa" w:w="400"/>
            <w:tcBorders>
              <w:top w:val="single" w:color="E0E0E0" w:sz="1"/>
              <w:left w:val="single" w:color="E0E0E0" w:sz="1"/>
              <w:bottom w:val="single" w:color="E0E0E0" w:sz="1"/>
              <w:right w:val="single" w:color="E0E0E0" w:sz="1"/>
            </w:tcBorders>
            <w:shd w:fill="2C5F8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4</w:t>
            </w:r>
          </w:p>
        </w:tc>
        <w:tc>
          <w:tcPr>
            <w:tcW w:type="dxa" w:w="5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sz w:val="20"/>
                <w:szCs w:val="20"/>
              </w:rPr>
              <w:t xml:space="preserve">What's your biggest growth constraint right now — awareness, conversion, or retention?</w:t>
            </w:r>
          </w:p>
        </w:tc>
        <w:tc>
          <w:tcPr>
            <w:tcW w:type="dxa" w:w="3960"/>
            <w:tcBorders>
              <w:top w:val="single" w:color="E0E0E0" w:sz="1"/>
              <w:left w:val="single" w:color="E0E0E0" w:sz="1"/>
              <w:bottom w:val="single" w:color="E0E0E0" w:sz="1"/>
              <w:right w:val="single" w:color="E0E0E0" w:sz="1"/>
            </w:tcBorders>
            <w:shd w:fill="F7F9FC" w:val="clear"/>
            <w:tcMar>
              <w:top w:type="dxa" w:w="80"/>
              <w:left w:type="dxa" w:w="140"/>
              <w:bottom w:type="dxa" w:w="80"/>
              <w:right w:type="dxa" w:w="140"/>
            </w:tcMar>
          </w:tcPr>
          <w:p>
            <w:r>
              <w:rPr>
                <w:rFonts w:ascii="Arial" w:cs="Arial" w:eastAsia="Arial" w:hAnsi="Arial"/>
                <w:color w:val="555555"/>
                <w:sz w:val="19"/>
                <w:szCs w:val="19"/>
              </w:rPr>
              <w:t xml:space="preserve">Opens the door to your specific service. Awareness = top-of-funnel paid. Conversion = retargeting + CRO. Retention = their own product, not your pitch.</w:t>
            </w:r>
          </w:p>
        </w:tc>
      </w:tr>
      <w:tr>
        <w:tc>
          <w:tcPr>
            <w:tcW w:type="dxa" w:w="400"/>
            <w:tcBorders>
              <w:top w:val="single" w:color="E0E0E0" w:sz="1"/>
              <w:left w:val="single" w:color="E0E0E0" w:sz="1"/>
              <w:bottom w:val="single" w:color="E0E0E0" w:sz="1"/>
              <w:right w:val="single" w:color="E0E0E0" w:sz="1"/>
            </w:tcBorders>
            <w:shd w:fill="2C5F8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5</w:t>
            </w:r>
          </w:p>
        </w:tc>
        <w:tc>
          <w:tcPr>
            <w:tcW w:type="dxa" w:w="5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sz w:val="20"/>
                <w:szCs w:val="20"/>
              </w:rPr>
              <w:t xml:space="preserve">How are you thinking about marketing investment post the Contextual acquisition — more brand, more demand gen, or both?</w:t>
            </w:r>
          </w:p>
        </w:tc>
        <w:tc>
          <w:tcPr>
            <w:tcW w:type="dxa" w:w="3960"/>
            <w:tcBorders>
              <w:top w:val="single" w:color="E0E0E0" w:sz="1"/>
              <w:left w:val="single" w:color="E0E0E0" w:sz="1"/>
              <w:bottom w:val="single" w:color="E0E0E0" w:sz="1"/>
              <w:right w:val="single" w:color="E0E0E0" w:sz="1"/>
            </w:tcBorders>
            <w:shd w:fill="F7F9FC" w:val="clear"/>
            <w:tcMar>
              <w:top w:type="dxa" w:w="80"/>
              <w:left w:type="dxa" w:w="140"/>
              <w:bottom w:type="dxa" w:w="80"/>
              <w:right w:type="dxa" w:w="140"/>
            </w:tcMar>
          </w:tcPr>
          <w:p>
            <w:r>
              <w:rPr>
                <w:rFonts w:ascii="Arial" w:cs="Arial" w:eastAsia="Arial" w:hAnsi="Arial"/>
                <w:color w:val="555555"/>
                <w:sz w:val="19"/>
                <w:szCs w:val="19"/>
              </w:rPr>
              <w:t xml:space="preserve">Surfaces budget intent and where they see the gap.</w:t>
            </w:r>
          </w:p>
        </w:tc>
      </w:tr>
      <w:tr>
        <w:tc>
          <w:tcPr>
            <w:tcW w:type="dxa" w:w="400"/>
            <w:tcBorders>
              <w:top w:val="single" w:color="E0E0E0" w:sz="1"/>
              <w:left w:val="single" w:color="E0E0E0" w:sz="1"/>
              <w:bottom w:val="single" w:color="E0E0E0" w:sz="1"/>
              <w:right w:val="single" w:color="E0E0E0" w:sz="1"/>
            </w:tcBorders>
            <w:shd w:fill="2C5F8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6</w:t>
            </w:r>
          </w:p>
        </w:tc>
        <w:tc>
          <w:tcPr>
            <w:tcW w:type="dxa" w:w="5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sz w:val="20"/>
                <w:szCs w:val="20"/>
              </w:rPr>
              <w:t xml:space="preserve">What does a successful partnership with a paid media agency look like to you?</w:t>
            </w:r>
          </w:p>
        </w:tc>
        <w:tc>
          <w:tcPr>
            <w:tcW w:type="dxa" w:w="3960"/>
            <w:tcBorders>
              <w:top w:val="single" w:color="E0E0E0" w:sz="1"/>
              <w:left w:val="single" w:color="E0E0E0" w:sz="1"/>
              <w:bottom w:val="single" w:color="E0E0E0" w:sz="1"/>
              <w:right w:val="single" w:color="E0E0E0" w:sz="1"/>
            </w:tcBorders>
            <w:shd w:fill="F7F9FC" w:val="clear"/>
            <w:tcMar>
              <w:top w:type="dxa" w:w="80"/>
              <w:left w:type="dxa" w:w="140"/>
              <w:bottom w:type="dxa" w:w="80"/>
              <w:right w:type="dxa" w:w="140"/>
            </w:tcMar>
          </w:tcPr>
          <w:p>
            <w:r>
              <w:rPr>
                <w:rFonts w:ascii="Arial" w:cs="Arial" w:eastAsia="Arial" w:hAnsi="Arial"/>
                <w:color w:val="555555"/>
                <w:sz w:val="19"/>
                <w:szCs w:val="19"/>
              </w:rPr>
              <w:t xml:space="preserve">Reveals their expectations, past frustrations, and how they measure success — critical for scoping.</w:t>
            </w:r>
          </w:p>
        </w:tc>
      </w:tr>
      <w:tr>
        <w:tc>
          <w:tcPr>
            <w:tcW w:type="dxa" w:w="400"/>
            <w:tcBorders>
              <w:top w:val="single" w:color="E0E0E0" w:sz="1"/>
              <w:left w:val="single" w:color="E0E0E0" w:sz="1"/>
              <w:bottom w:val="single" w:color="E0E0E0" w:sz="1"/>
              <w:right w:val="single" w:color="E0E0E0" w:sz="1"/>
            </w:tcBorders>
            <w:shd w:fill="2C5F8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7</w:t>
            </w:r>
          </w:p>
        </w:tc>
        <w:tc>
          <w:tcPr>
            <w:tcW w:type="dxa" w:w="5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sz w:val="20"/>
                <w:szCs w:val="20"/>
              </w:rPr>
              <w:t xml:space="preserve">Are you measuring CAC by channel today, and do you have a target payback period?</w:t>
            </w:r>
          </w:p>
        </w:tc>
        <w:tc>
          <w:tcPr>
            <w:tcW w:type="dxa" w:w="3960"/>
            <w:tcBorders>
              <w:top w:val="single" w:color="E0E0E0" w:sz="1"/>
              <w:left w:val="single" w:color="E0E0E0" w:sz="1"/>
              <w:bottom w:val="single" w:color="E0E0E0" w:sz="1"/>
              <w:right w:val="single" w:color="E0E0E0" w:sz="1"/>
            </w:tcBorders>
            <w:shd w:fill="F7F9FC" w:val="clear"/>
            <w:tcMar>
              <w:top w:type="dxa" w:w="80"/>
              <w:left w:type="dxa" w:w="140"/>
              <w:bottom w:type="dxa" w:w="80"/>
              <w:right w:type="dxa" w:w="140"/>
            </w:tcMar>
          </w:tcPr>
          <w:p>
            <w:r>
              <w:rPr>
                <w:rFonts w:ascii="Arial" w:cs="Arial" w:eastAsia="Arial" w:hAnsi="Arial"/>
                <w:color w:val="555555"/>
                <w:sz w:val="19"/>
                <w:szCs w:val="19"/>
              </w:rPr>
              <w:t xml:space="preserve">Shows sophistication level and whether you're selling to a data-driven buyer or someone who needs education.</w:t>
            </w:r>
          </w:p>
        </w:tc>
      </w:tr>
      <w:tr>
        <w:tc>
          <w:tcPr>
            <w:tcW w:type="dxa" w:w="400"/>
            <w:tcBorders>
              <w:top w:val="single" w:color="E0E0E0" w:sz="1"/>
              <w:left w:val="single" w:color="E0E0E0" w:sz="1"/>
              <w:bottom w:val="single" w:color="E0E0E0" w:sz="1"/>
              <w:right w:val="single" w:color="E0E0E0" w:sz="1"/>
            </w:tcBorders>
            <w:shd w:fill="2C5F8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8</w:t>
            </w:r>
          </w:p>
        </w:tc>
        <w:tc>
          <w:tcPr>
            <w:tcW w:type="dxa" w:w="5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sz w:val="20"/>
                <w:szCs w:val="20"/>
              </w:rPr>
              <w:t xml:space="preserve">What's your timeline for making a decision on new marketing partnerships?</w:t>
            </w:r>
          </w:p>
        </w:tc>
        <w:tc>
          <w:tcPr>
            <w:tcW w:type="dxa" w:w="3960"/>
            <w:tcBorders>
              <w:top w:val="single" w:color="E0E0E0" w:sz="1"/>
              <w:left w:val="single" w:color="E0E0E0" w:sz="1"/>
              <w:bottom w:val="single" w:color="E0E0E0" w:sz="1"/>
              <w:right w:val="single" w:color="E0E0E0" w:sz="1"/>
            </w:tcBorders>
            <w:shd w:fill="F7F9FC" w:val="clear"/>
            <w:tcMar>
              <w:top w:type="dxa" w:w="80"/>
              <w:left w:type="dxa" w:w="140"/>
              <w:bottom w:type="dxa" w:w="80"/>
              <w:right w:type="dxa" w:w="140"/>
            </w:tcMar>
          </w:tcPr>
          <w:p>
            <w:r>
              <w:rPr>
                <w:rFonts w:ascii="Arial" w:cs="Arial" w:eastAsia="Arial" w:hAnsi="Arial"/>
                <w:color w:val="555555"/>
                <w:sz w:val="19"/>
                <w:szCs w:val="19"/>
              </w:rPr>
              <w:t xml:space="preserve">Qualifies urgency and whether this is exploratory or active pipeline.</w:t>
            </w:r>
          </w:p>
        </w:tc>
      </w:tr>
    </w:tbl>
    <w:p>
      <w:pPr>
        <w:spacing w:before="200"/>
      </w:pPr>
    </w:p>
    <w:p>
      <w:pPr>
        <w:pBdr>
          <w:bottom w:val="single" w:color="2C5F8A" w:sz="4" w:space="1"/>
        </w:pBdr>
        <w:spacing w:after="120" w:before="120"/>
      </w:pPr>
    </w:p>
    <w:p>
      <w:pPr>
        <w:pStyle w:val="Heading1"/>
        <w:spacing w:after="120" w:before="320"/>
      </w:pPr>
      <w:r>
        <w:rPr>
          <w:rFonts w:ascii="Arial" w:cs="Arial" w:eastAsia="Arial" w:hAnsi="Arial"/>
          <w:b/>
          <w:bCs/>
          <w:color w:val="1A1A2E"/>
          <w:sz w:val="28"/>
          <w:szCs w:val="28"/>
        </w:rPr>
        <w:t xml:space="preserve">Pre-Call Prep Notes</w:t>
      </w:r>
    </w:p>
    <w:p>
      <w:pPr>
        <w:pStyle w:val="ListParagraph"/>
        <w:numPr>
          <w:ilvl w:val="0"/>
          <w:numId w:val="2"/>
        </w:numPr>
        <w:spacing w:after="40" w:before="40"/>
      </w:pPr>
      <w:r>
        <w:rPr>
          <w:rFonts w:ascii="Arial" w:cs="Arial" w:eastAsia="Arial" w:hAnsi="Arial"/>
          <w:sz w:val="22"/>
          <w:szCs w:val="22"/>
        </w:rPr>
        <w:t xml:space="preserve">Confirm Nathan's exact role before the call — he may be in marketing, sales, or partnerships.</w:t>
      </w:r>
    </w:p>
    <w:p>
      <w:pPr>
        <w:pStyle w:val="ListParagraph"/>
        <w:numPr>
          <w:ilvl w:val="0"/>
          <w:numId w:val="2"/>
        </w:numPr>
        <w:spacing w:after="40" w:before="40"/>
      </w:pPr>
      <w:r>
        <w:rPr>
          <w:rFonts w:ascii="Arial" w:cs="Arial" w:eastAsia="Arial" w:hAnsi="Arial"/>
          <w:sz w:val="22"/>
          <w:szCs w:val="22"/>
        </w:rPr>
        <w:t xml:space="preserve">Review redo.com homepage and their blog for any recent campaign angles or new product announcements.</w:t>
      </w:r>
    </w:p>
    <w:p>
      <w:pPr>
        <w:pStyle w:val="ListParagraph"/>
        <w:numPr>
          <w:ilvl w:val="0"/>
          <w:numId w:val="2"/>
        </w:numPr>
        <w:spacing w:after="40" w:before="40"/>
      </w:pPr>
      <w:r>
        <w:rPr>
          <w:rFonts w:ascii="Arial" w:cs="Arial" w:eastAsia="Arial" w:hAnsi="Arial"/>
          <w:sz w:val="22"/>
          <w:szCs w:val="22"/>
        </w:rPr>
        <w:t xml:space="preserve">Check their LinkedIn and Meta ad libraries to see if they are currently running paid ads — if not, that is your hook.</w:t>
      </w:r>
    </w:p>
    <w:p>
      <w:pPr>
        <w:pStyle w:val="ListParagraph"/>
        <w:numPr>
          <w:ilvl w:val="0"/>
          <w:numId w:val="2"/>
        </w:numPr>
        <w:spacing w:after="40" w:before="40"/>
      </w:pPr>
      <w:r>
        <w:rPr>
          <w:rFonts w:ascii="Arial" w:cs="Arial" w:eastAsia="Arial" w:hAnsi="Arial"/>
          <w:sz w:val="22"/>
          <w:szCs w:val="22"/>
        </w:rPr>
        <w:t xml:space="preserve">Have 1-2 relevant B2B SaaS or ecommerce case studies ready from EmberTribe to reference.</w:t>
      </w:r>
    </w:p>
    <w:p>
      <w:pPr>
        <w:pStyle w:val="ListParagraph"/>
        <w:numPr>
          <w:ilvl w:val="0"/>
          <w:numId w:val="2"/>
        </w:numPr>
        <w:spacing w:after="40" w:before="40"/>
      </w:pPr>
      <w:r>
        <w:rPr>
          <w:rFonts w:ascii="Arial" w:cs="Arial" w:eastAsia="Arial" w:hAnsi="Arial"/>
          <w:sz w:val="22"/>
          <w:szCs w:val="22"/>
        </w:rPr>
        <w:t xml:space="preserve">Know their main competitors (Loop Returns, Happy Returns, AfterShip) and be ready to speak to why brands are switching to Redo.</w:t>
      </w:r>
    </w:p>
    <w:p>
      <w:pPr>
        <w:spacing w:before="24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jc w:val="center"/>
    </w:pPr>
    <w:r>
      <w:rPr>
        <w:rFonts w:ascii="Arial" w:cs="Arial" w:eastAsia="Arial" w:hAnsi="Arial"/>
        <w:color w:val="AAAAAA"/>
        <w:sz w:val="17"/>
        <w:szCs w:val="17"/>
      </w:rPr>
      <w:t xml:space="preserve">EmberTribe  |  Confidential  |  Page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pPr>
    <w:r>
      <w:rPr>
        <w:rFonts w:ascii="Arial" w:cs="Arial" w:eastAsia="Arial" w:hAnsi="Arial"/>
        <w:b/>
        <w:bCs/>
        <w:color w:val="2C5F8A"/>
        <w:sz w:val="18"/>
        <w:szCs w:val="18"/>
      </w:rPr>
      <w:t xml:space="preserve">DISCOVERY CALL BRIEF</w:t>
    </w:r>
    <w:r>
      <w:rPr>
        <w:rFonts w:ascii="Arial" w:cs="Arial" w:eastAsia="Arial" w:hAnsi="Arial"/>
        <w:color w:val="888888"/>
        <w:sz w:val="18"/>
        <w:szCs w:val="18"/>
      </w:rPr>
      <w:t xml:space="preserve">     |     Redo.com / Nathan Curtis</w:t>
    </w:r>
    <w:r>
      <w:rPr>
        <w:rFonts w:ascii="Arial" w:cs="Arial" w:eastAsia="Arial" w:hAnsi="Arial"/>
        <w:color w:val="888888"/>
        <w:sz w:val="18"/>
        <w:szCs w:val="18"/>
      </w:rPr>
      <w:t xml:space="preserve">     |     June 19,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2026-06-19T14:22:51.515Z</dcterms:created>
  <dcterms:modified xsi:type="dcterms:W3CDTF">2026-06-19T14:22:51.515Z</dcterms:modified>
</cp:coreProperties>
</file>

<file path=docProps/custom.xml><?xml version="1.0" encoding="utf-8"?>
<Properties xmlns="http://schemas.openxmlformats.org/officeDocument/2006/custom-properties" xmlns:vt="http://schemas.openxmlformats.org/officeDocument/2006/docPropsVTypes"/>
</file>