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F4E5F"/>
          <w:sz w:val="30"/>
          <w:szCs w:val="30"/>
        </w:rPr>
        <w:t xml:space="preserve">Discovery Call Prep: Southwest Recovery Services</w:t>
      </w:r>
    </w:p>
    <w:p>
      <w:pPr>
        <w:tabs>
          <w:tab w:val="right" w:pos="9026"/>
        </w:tabs>
        <w:spacing w:after="1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Steven Dietz — President &amp; CEO  |  swrecovery.com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Prepared for EmberTribe</w:t>
      </w:r>
    </w:p>
    <w:p>
      <w:pPr>
        <w:pBdr>
          <w:bottom w:val="single" w:color="2E75B6" w:sz="4" w:space="1"/>
        </w:pBdr>
        <w:spacing w:after="100" w:before="4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COMPANY SNAPSHOT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8"/>
          <w:szCs w:val="18"/>
        </w:rPr>
        <w:t xml:space="preserve">Nationwide B2B + consumer debt collection / receivables management agency. HQ Addison, TX; ~12 offices across 7 states (TX, CO, GA, MO, OK, FL, OH).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8"/>
          <w:szCs w:val="18"/>
        </w:rPr>
        <w:t xml:space="preserve">20+ years in business (since ~2004). Steven Dietz, President &amp; CEO, ~30 years in debt recovery.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8"/>
          <w:szCs w:val="18"/>
        </w:rPr>
        <w:t xml:space="preserve">Positioning: contingency-only pricing — no upfront fees, no retainers, no setup costs — “we only get paid if you get paid.”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8"/>
          <w:szCs w:val="18"/>
        </w:rPr>
        <w:t xml:space="preserve">Verticals served: automotive finance, commercial (B2B) collections, consumer collections, government/municipal, insurance &amp; subrogation, medical/healthcare (HIPAA-compliant), logistics/freight, oil &amp; gas, property management, utilities, small business.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IDEAL CUSTOMER PROFILE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SWRS sells B2B to finance/ops decision-makers at companies owed money — CFOs, controllers, revenue cycle directors, medical billing managers, property managers, government finance officers, credit/AR managers in logistics and oil &amp; gas. Purchase is trigger-based (aging receivables), not awareness-driven — longer, event-driven sales cycles, not a browsing purchase.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2026 INDUSTRY CONTEXT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8"/>
          <w:szCs w:val="18"/>
        </w:rPr>
        <w:t xml:space="preserve">Trust/credibility is the real bottleneck, not recovery-rate claims — generalist “we collect everything for everyone” agencies convert worse than specialists.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8"/>
          <w:szCs w:val="18"/>
        </w:rPr>
        <w:t xml:space="preserve">Reporting transparency is a differentiator: live dashboards and real-time metrics out-close legacy monthly-PDF reporting, especially with risk-averse creditors.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8"/>
          <w:szCs w:val="18"/>
        </w:rPr>
        <w:t xml:space="preserve">Compliance/data-security messaging matters (FDCPA, HIPAA) — buyers are wary of handing over sensitive AR data.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8"/>
          <w:szCs w:val="18"/>
        </w:rPr>
        <w:t xml:space="preserve">Specialization wins: verticalized positioning (healthcare-specific, oil &amp; gas-specific, etc.) is capturing share.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WHERE THE SITE HAS GAPS → EMBERTRIBE ANGLES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8"/>
          <w:szCs w:val="18"/>
        </w:rPr>
        <w:t xml:space="preserve">No visible case studies, testimonials, or recovery-rate proof points on site — proof-point content/SEO push (case studies, benchmarks, “why contingency” explainers) directly answers the industry's trust gap.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8"/>
          <w:szCs w:val="18"/>
        </w:rPr>
        <w:t xml:space="preserve">12 offices read as one national site — multi-location Local SEO / Google Business Profile program, one optimized presence per office by vertical.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8"/>
          <w:szCs w:val="18"/>
        </w:rPr>
        <w:t xml:space="preserve">Trigger-based buyer intent — vertical-specific Google Ads (medical, oil &amp; gas, insurance/subrogation) instead of one generic “debt collection” campaign, mirrored to existing landing pages.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8"/>
          <w:szCs w:val="18"/>
        </w:rPr>
        <w:t xml:space="preserve">Named B2B buyer persona (CFO/controller) — LinkedIn / ABM-style targeting for the highest-ticket verticals.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QUESTIONS TO ASK STEVEN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Which 2–3 verticals are most profitable or strategic right now? (focuses where to propose spend)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How are leads coming in today — referral, outbound, inbound? (tells us if paid/SEO is greenfield or supplemental)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Do you track recovery-rate or case-study data internally that could become marketing proof points?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Any regulatory/compliance constraints on advertising claims or language (FDCPA) we should design around?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Which offices or regions are under-capacity and could use more local lead flow?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What's worked or flopped in past marketing efforts, and who owns marketing decisions internally?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What does a “win” look like from this engagement — lead volume, specific verticals, brand visibility?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2026-07-10T17:58:10.775Z</dcterms:created>
  <dcterms:modified xsi:type="dcterms:W3CDTF">2026-07-10T17:58:10.776Z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