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32"/>
          <w:szCs w:val="32"/>
        </w:rPr>
        <w:t xml:space="preserve">Call Prep: Amino Vitality</w:t>
      </w:r>
    </w:p>
    <w:p>
      <w:pPr>
        <w:spacing w:after="140"/>
      </w:pPr>
      <w:r>
        <w:rPr>
          <w:i/>
          <w:iCs/>
          <w:color w:val="555555"/>
          <w:sz w:val="18"/>
          <w:szCs w:val="18"/>
        </w:rPr>
        <w:t xml:space="preserve">Discovery Call — Monday, July 20, 2026, 4:00 PM EDT · Zoom · Contact: John Mendoza</w:t>
      </w:r>
    </w:p>
    <w:p>
      <w:pPr>
        <w:pStyle w:val="Heading2"/>
        <w:pBdr>
          <w:bottom w:val="single" w:color="37ca37" w:sz="6" w:space="2"/>
        </w:pBdr>
        <w:spacing w:after="60" w:before="160"/>
      </w:pPr>
      <w:r>
        <w:rPr>
          <w:b/>
          <w:bCs/>
          <w:color w:val="37ca37"/>
          <w:sz w:val="20"/>
          <w:szCs w:val="20"/>
        </w:rPr>
        <w:t xml:space="preserve">Account Snapshot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50"/>
      </w:tblGrid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Company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Amino Vitality (aminovitality.com)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Industry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Research-grade peptides, amino acids &amp; derivative compounds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Precision-synthesized peptides via solid-phase, liquid-phase, hybrid synthesis &amp; microbial fermentation; 200+ SKUs (peptides, blends, bioregulators, capsules, cosmetic-use compounds)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Positioning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GMP-standard manufacturing, FDA-registered lab verification, ISO/IEC 17025:2017 testing (HPLC, mass spec, endotoxin screening)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Customer base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Researchers, lab professionals, scientific institutions — products explicitly labeled “research use only,” not for human/animal use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Deal status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inbound lead — booked discovery call directly, no prior EmberTribe contact</w:t>
            </w:r>
          </w:p>
        </w:tc>
      </w:tr>
    </w:tbl>
    <w:p>
      <w:pPr>
        <w:pStyle w:val="Heading2"/>
        <w:pBdr>
          <w:bottom w:val="single" w:color="37ca37" w:sz="6" w:space="2"/>
        </w:pBdr>
        <w:spacing w:after="60" w:before="160"/>
      </w:pPr>
      <w:r>
        <w:rPr>
          <w:b/>
          <w:bCs/>
          <w:color w:val="37ca37"/>
          <w:sz w:val="20"/>
          <w:szCs w:val="20"/>
        </w:rPr>
        <w:t xml:space="preserve">Heads-Up: Naming Collision</w:t>
      </w:r>
    </w:p>
    <w:p>
      <w:pPr>
        <w:spacing w:after="60"/>
      </w:pPr>
      <w:r>
        <w:rPr>
          <w:color w:val="1a1a1a"/>
          <w:sz w:val="18"/>
          <w:szCs w:val="18"/>
        </w:rPr>
        <w:t xml:space="preserve">Web search results for “Amino Vitality” mostly surface a different, unrelated company — “Amino Vital,” Ajinomoto’s sports-nutrition brand out of Raleigh, NC. This prep is built from the actual aminovitality.com site. Don’t reference sports-drink/hydration positioning on the call — that’s the other company.</w:t>
      </w:r>
    </w:p>
    <w:p>
      <w:pPr>
        <w:pStyle w:val="Heading2"/>
        <w:pBdr>
          <w:bottom w:val="single" w:color="37ca37" w:sz="6" w:space="2"/>
        </w:pBdr>
        <w:spacing w:after="60" w:before="160"/>
      </w:pPr>
      <w:r>
        <w:rPr>
          <w:b/>
          <w:bCs/>
          <w:color w:val="37ca37"/>
          <w:sz w:val="20"/>
          <w:szCs w:val="20"/>
        </w:rPr>
        <w:t xml:space="preserve">Your Goal</w:t>
      </w:r>
    </w:p>
    <w:p>
      <w:pPr>
        <w:spacing w:after="60"/>
      </w:pPr>
      <w:r>
        <w:rPr>
          <w:color w:val="1a1a1a"/>
          <w:sz w:val="18"/>
          <w:szCs w:val="18"/>
        </w:rPr>
        <w:t xml:space="preserve">Qualify the opportunity: understand what’s driving the search for marketing help, how they’re currently navigating ad-platform restrictions on peptide/research-chemical content, and whether there’s budget/timeline fit for an EmberTribe engagement.</w:t>
      </w:r>
    </w:p>
    <w:p>
      <w:pPr>
        <w:pStyle w:val="Heading2"/>
        <w:pBdr>
          <w:bottom w:val="single" w:color="37ca37" w:sz="6" w:space="2"/>
        </w:pBdr>
        <w:spacing w:after="60" w:before="160"/>
      </w:pPr>
      <w:r>
        <w:rPr>
          <w:b/>
          <w:bCs/>
          <w:color w:val="37ca37"/>
          <w:sz w:val="20"/>
          <w:szCs w:val="20"/>
        </w:rPr>
        <w:t xml:space="preserve">Discovery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What's driving the search for marketing help right now — growth plateau, new product line, competitive pressure?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Which channels are you using today (SEO, paid search/social, email, Amazon, B2B/institutional outreach)? What's working, what isn't?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Given the “research use only” framing, how have you handled Google/Meta ad policy restrictions on peptides? Any account flags or suspensions?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Who's the ideal customer — labs and institutions, or does individual/biohacker demand factor in too?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What does the current site conversion path look like (quote request, direct checkout, sales-assisted)?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18"/>
          <w:szCs w:val="18"/>
        </w:rPr>
        <w:t xml:space="preserve">Who else is involved in a vendor decision, and what's the budget range and timeline to start?</w:t>
      </w:r>
    </w:p>
    <w:p>
      <w:pPr>
        <w:pStyle w:val="Heading2"/>
        <w:pBdr>
          <w:bottom w:val="single" w:color="37ca37" w:sz="6" w:space="2"/>
        </w:pBdr>
        <w:spacing w:after="60" w:before="160"/>
      </w:pPr>
      <w:r>
        <w:rPr>
          <w:b/>
          <w:bCs/>
          <w:color w:val="37ca37"/>
          <w:sz w:val="20"/>
          <w:szCs w:val="20"/>
        </w:rPr>
        <w:t xml:space="preserve">Potential Objections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18"/>
          <w:szCs w:val="18"/>
        </w:rPr>
        <w:t xml:space="preserve">“Ad platforms won’t let us advertise” → pivot to compliant channels: SEO/content, email, B2B/institutional outreach, affiliate, compliant programmatic.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18"/>
          <w:szCs w:val="18"/>
        </w:rPr>
        <w:t xml:space="preserve">Regulatory/compliance sensitivity → ask directly about past experience with restricted-category marketing before promising specific tactics.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a1a1a"/>
          <w:sz w:val="18"/>
          <w:szCs w:val="18"/>
        </w:rPr>
        <w:t xml:space="preserve">Budget hesitation → qualify range early in the call rather than after a proposal is built.</w:t>
      </w:r>
    </w:p>
    <w:p>
      <w:pPr>
        <w:pStyle w:val="Heading2"/>
        <w:pBdr>
          <w:bottom w:val="single" w:color="37ca37" w:sz="6" w:space="2"/>
        </w:pBdr>
        <w:spacing w:after="60" w:before="160"/>
      </w:pPr>
      <w:r>
        <w:rPr>
          <w:b/>
          <w:bCs/>
          <w:color w:val="37ca37"/>
          <w:sz w:val="20"/>
          <w:szCs w:val="20"/>
        </w:rPr>
        <w:t xml:space="preserve">Internal Notes</w:t>
      </w:r>
    </w:p>
    <w:p>
      <w:pPr>
        <w:spacing w:after="40"/>
      </w:pPr>
      <w:r>
        <w:rPr>
          <w:color w:val="1a1a1a"/>
          <w:sz w:val="18"/>
          <w:szCs w:val="18"/>
        </w:rPr>
        <w:t xml:space="preserve">No CRM history, prior email thread, or call transcripts found — this is a first-touch inbound lead who self-booked via EmberTribe's scheduling link. Only email on file is the appointment confirmation.</w:t>
      </w:r>
    </w:p>
    <w:p>
      <w:pPr>
        <w:pStyle w:val="Heading2"/>
        <w:pBdr>
          <w:bottom w:val="single" w:color="37ca37" w:sz="6" w:space="2"/>
        </w:pBdr>
        <w:spacing w:after="60" w:before="160"/>
      </w:pPr>
      <w:r>
        <w:rPr>
          <w:b/>
          <w:bCs/>
          <w:color w:val="37ca37"/>
          <w:sz w:val="20"/>
          <w:szCs w:val="20"/>
        </w:rPr>
        <w:t xml:space="preserve">After the Call</w:t>
      </w:r>
    </w:p>
    <w:p>
      <w:r>
        <w:rPr>
          <w:color w:val="1a1a1a"/>
          <w:sz w:val="18"/>
          <w:szCs w:val="18"/>
        </w:rPr>
        <w:t xml:space="preserve">Log contact + notes in CRM, and draft a follow-up email with agreed next steps.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2026-07-20T20:01:21.374Z</dcterms:created>
  <dcterms:modified xsi:type="dcterms:W3CDTF">2026-07-20T20:01:21.375Z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