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60" w:before="480"/>
        <w:jc w:val="center"/>
      </w:pPr>
      <w:r>
        <w:rPr>
          <w:rFonts w:ascii="Arial" w:cs="Arial" w:eastAsia="Arial" w:hAnsi="Arial"/>
          <w:b/>
          <w:bCs/>
          <w:color w:val="1F3864"/>
          <w:sz w:val="40"/>
          <w:szCs w:val="40"/>
        </w:rPr>
        <w:t xml:space="preserve">Student Segmentation and Personalized</w:t>
      </w:r>
    </w:p>
    <w:p>
      <w:pPr>
        <w:spacing w:after="160" w:before="0"/>
        <w:jc w:val="center"/>
      </w:pPr>
      <w:r>
        <w:rPr>
          <w:rFonts w:ascii="Arial" w:cs="Arial" w:eastAsia="Arial" w:hAnsi="Arial"/>
          <w:b/>
          <w:bCs/>
          <w:color w:val="1F3864"/>
          <w:sz w:val="40"/>
          <w:szCs w:val="40"/>
        </w:rPr>
        <w:t xml:space="preserve">Course Recommendation System for EduPro</w:t>
      </w:r>
    </w:p>
    <w:p>
      <w:pPr>
        <w:pBdr>
          <w:bottom w:val="single" w:color="1F3864" w:sz="6" w:space="1"/>
        </w:pBdr>
        <w:spacing w:after="80" w:before="80"/>
        <w:jc w:val="center"/>
      </w:pPr>
      <w:r>
        <w:rPr>
          <w:rFonts w:ascii="Arial" w:cs="Arial" w:eastAsia="Arial" w:hAnsi="Arial"/>
          <w:i/>
          <w:iCs/>
          <w:color w:val="555555"/>
          <w:sz w:val="26"/>
          <w:szCs w:val="26"/>
        </w:rPr>
        <w:t xml:space="preserve">Research Paper</w:t>
      </w:r>
    </w:p>
    <w:p>
      <w:pPr>
        <w:spacing w:after="80" w:before="80"/>
      </w:pPr>
      <w:r>
        <w:t xml:space="preserve"/>
      </w:r>
    </w:p>
    <w:p>
      <w:pPr>
        <w:jc w:val="center"/>
      </w:pPr>
      <w:r>
        <w:rPr>
          <w:rFonts w:ascii="Arial" w:cs="Arial" w:eastAsia="Arial" w:hAnsi="Arial"/>
          <w:color w:val="333333"/>
          <w:sz w:val="22"/>
          <w:szCs w:val="22"/>
        </w:rPr>
        <w:t xml:space="preserve">Author: Jones Wesley</w:t>
      </w:r>
    </w:p>
    <w:p>
      <w:pPr>
        <w:jc w:val="center"/>
      </w:pPr>
      <w:r>
        <w:rPr>
          <w:rFonts w:ascii="Arial" w:cs="Arial" w:eastAsia="Arial" w:hAnsi="Arial"/>
          <w:color w:val="333333"/>
          <w:sz w:val="22"/>
          <w:szCs w:val="22"/>
        </w:rPr>
        <w:t xml:space="preserve">Internship Project | Unified Mentor</w:t>
      </w:r>
    </w:p>
    <w:p>
      <w:pPr>
        <w:jc w:val="center"/>
      </w:pPr>
      <w:r>
        <w:rPr>
          <w:rFonts w:ascii="Arial" w:cs="Arial" w:eastAsia="Arial" w:hAnsi="Arial"/>
          <w:color w:val="333333"/>
          <w:sz w:val="22"/>
          <w:szCs w:val="22"/>
        </w:rPr>
        <w:t xml:space="preserve">EduPro Online Learning Platform</w:t>
      </w:r>
    </w:p>
    <w:p>
      <w:pPr>
        <w:jc w:val="center"/>
      </w:pPr>
      <w:r>
        <w:rPr>
          <w:rFonts w:ascii="Arial" w:cs="Arial" w:eastAsia="Arial" w:hAnsi="Arial"/>
          <w:color w:val="666666"/>
          <w:sz w:val="22"/>
          <w:szCs w:val="22"/>
        </w:rPr>
        <w:t xml:space="preserve">2024</w:t>
      </w:r>
    </w:p>
    <w:p>
      <w:pPr>
        <w:spacing w:after="80" w:before="80"/>
      </w:pPr>
      <w:r>
        <w:t xml:space="preserve"/>
      </w:r>
    </w:p>
    <w:p>
      <w:pPr>
        <w:spacing w:after="80" w:before="80"/>
      </w:pPr>
      <w:r>
        <w:t xml:space="preserve"/>
      </w:r>
    </w:p>
    <w:p>
      <w:pPr>
        <w:spacing w:after="80" w:before="80"/>
      </w:pPr>
      <w:r>
        <w:t xml:space="preserve"/>
      </w:r>
    </w:p>
    <w:p>
      <w:pPr>
        <w:pStyle w:val="Heading1"/>
        <w:pBdr>
          <w:bottom w:val="single" w:color="1F3864" w:sz="6" w:space="1"/>
        </w:pBdr>
        <w:spacing w:after="120" w:before="320"/>
      </w:pPr>
      <w:r>
        <w:rPr>
          <w:rFonts w:ascii="Arial" w:cs="Arial" w:eastAsia="Arial" w:hAnsi="Arial"/>
          <w:b/>
          <w:bCs/>
          <w:color w:val="1F3864"/>
          <w:sz w:val="28"/>
          <w:szCs w:val="28"/>
        </w:rPr>
        <w:t xml:space="preserve">Abstract</w:t>
      </w:r>
    </w:p>
    <w:p>
      <w:pPr>
        <w:spacing w:after="80" w:before="80" w:line="360"/>
        <w:jc w:val="both"/>
      </w:pPr>
      <w:r>
        <w:rPr>
          <w:rFonts w:ascii="Arial" w:cs="Arial" w:eastAsia="Arial" w:hAnsi="Arial"/>
          <w:sz w:val="22"/>
          <w:szCs w:val="22"/>
        </w:rPr>
        <w:t xml:space="preserve">This research paper presents a data-driven student segmentation and personalized course recommendation system designed for the EduPro online learning platform. The study analyzes behavioral, demographic, and transactional data from 3,000 learners enrolled across 200 courses, encompassing 11,470 transactions. Using unsupervised machine learning techniques — specifically K-Means clustering validated against Agglomerative Hierarchical Clustering — learners are segmented into four distinct behavioral profiles: Casual Explorers, Power Learners, Budget Browsers, and Focused Achievers. A cluster-aware recommendation engine is then developed using content-based filtering combined with rating-weighted relevance scoring to deliver personalized course suggestions to each learner segment. Evaluation via Silhouette Score and Engagement Lift metrics demonstrates the system's effectiveness in capturing meaningful behavioral differences across learner groups. The Streamlit web application provides an interactive interface for learner profile exploration, cluster visualization, and real-time recommendation delivery.</w:t>
      </w:r>
    </w:p>
    <w:p>
      <w:pPr>
        <w:spacing w:after="80" w:before="80"/>
      </w:pPr>
      <w:r>
        <w:t xml:space="preserve"/>
      </w:r>
    </w:p>
    <w:p>
      <w:pPr>
        <w:spacing w:after="80" w:before="80" w:line="360"/>
        <w:jc w:val="left"/>
      </w:pPr>
      <w:r>
        <w:rPr>
          <w:rFonts w:ascii="Arial" w:cs="Arial" w:eastAsia="Arial" w:hAnsi="Arial"/>
          <w:i/>
          <w:iCs/>
          <w:sz w:val="22"/>
          <w:szCs w:val="22"/>
        </w:rPr>
        <w:t xml:space="preserve">Keywords: student segmentation, K-Means clustering, personalized recommendation, e-learning, content-based filtering, learner profiling, EduPro</w:t>
      </w:r>
    </w:p>
    <w:p>
      <w:pPr>
        <w:spacing w:after="80" w:before="80"/>
      </w:pPr>
      <w:r>
        <w:t xml:space="preserve"/>
      </w:r>
    </w:p>
    <w:p>
      <w:pPr>
        <w:pStyle w:val="Heading1"/>
        <w:pBdr>
          <w:bottom w:val="single" w:color="1F3864" w:sz="6" w:space="1"/>
        </w:pBdr>
        <w:spacing w:after="120" w:before="320"/>
      </w:pPr>
      <w:r>
        <w:rPr>
          <w:rFonts w:ascii="Arial" w:cs="Arial" w:eastAsia="Arial" w:hAnsi="Arial"/>
          <w:b/>
          <w:bCs/>
          <w:color w:val="1F3864"/>
          <w:sz w:val="28"/>
          <w:szCs w:val="28"/>
        </w:rPr>
        <w:t xml:space="preserve">1. Introduction</w:t>
      </w:r>
    </w:p>
    <w:p>
      <w:pPr>
        <w:pStyle w:val="Heading2"/>
        <w:spacing w:after="80" w:before="240"/>
      </w:pPr>
      <w:r>
        <w:rPr>
          <w:rFonts w:ascii="Arial" w:cs="Arial" w:eastAsia="Arial" w:hAnsi="Arial"/>
          <w:b/>
          <w:bCs/>
          <w:color w:val="2E75B6"/>
          <w:sz w:val="24"/>
          <w:szCs w:val="24"/>
        </w:rPr>
        <w:t xml:space="preserve">1.1 Background and Context</w:t>
      </w:r>
    </w:p>
    <w:p>
      <w:pPr>
        <w:spacing w:after="80" w:before="80" w:line="360"/>
        <w:jc w:val="both"/>
      </w:pPr>
      <w:r>
        <w:rPr>
          <w:rFonts w:ascii="Arial" w:cs="Arial" w:eastAsia="Arial" w:hAnsi="Arial"/>
          <w:sz w:val="22"/>
          <w:szCs w:val="22"/>
        </w:rPr>
        <w:t xml:space="preserve">The rapid expansion of online education has transformed how learners engage with educational content. Platforms such as EduPro serve diverse learner populations ranging from career-switchers and hobbyists to working professionals seeking specialization. Unlike a traditional classroom, an online platform must accommodate thousands of unique learning styles, pacing preferences, and knowledge goals simultaneously.</w:t>
      </w:r>
    </w:p>
    <w:p>
      <w:pPr>
        <w:spacing w:after="80" w:before="80" w:line="360"/>
        <w:jc w:val="both"/>
      </w:pPr>
      <w:r>
        <w:rPr>
          <w:rFonts w:ascii="Arial" w:cs="Arial" w:eastAsia="Arial" w:hAnsi="Arial"/>
          <w:sz w:val="22"/>
          <w:szCs w:val="22"/>
        </w:rPr>
        <w:t xml:space="preserve">Research consistently shows that generic, one-size-fits-all recommendation approaches fail to maximize learner engagement, course completion rates, or long-term platform retention. Learners who receive irrelevant recommendations disengage faster and exhibit lower lifetime value to the platform. Conversely, highly personalized recommendation engines — such as those employed by Netflix and Spotify — have demonstrated significant improvements in user engagement and retention.</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1.2 Problem Statement</w:t>
      </w:r>
    </w:p>
    <w:p>
      <w:pPr>
        <w:spacing w:after="80" w:before="80" w:line="360"/>
        <w:jc w:val="both"/>
      </w:pPr>
      <w:r>
        <w:rPr>
          <w:rFonts w:ascii="Arial" w:cs="Arial" w:eastAsia="Arial" w:hAnsi="Arial"/>
          <w:sz w:val="22"/>
          <w:szCs w:val="22"/>
        </w:rPr>
        <w:t xml:space="preserve">EduPro currently faces three core challenges:</w:t>
      </w:r>
    </w:p>
    <w:p>
      <w:pPr>
        <w:pStyle w:val="ListParagraph"/>
        <w:numPr>
          <w:ilvl w:val="0"/>
          <w:numId w:val="2"/>
        </w:numPr>
        <w:spacing w:after="60" w:before="60"/>
      </w:pPr>
      <w:r>
        <w:rPr>
          <w:rFonts w:ascii="Arial" w:cs="Arial" w:eastAsia="Arial" w:hAnsi="Arial"/>
          <w:sz w:val="22"/>
          <w:szCs w:val="22"/>
        </w:rPr>
        <w:t xml:space="preserve">One-size-fits-all course recommendations that ignore learner behavior and preferences</w:t>
      </w:r>
    </w:p>
    <w:p>
      <w:pPr>
        <w:pStyle w:val="ListParagraph"/>
        <w:numPr>
          <w:ilvl w:val="0"/>
          <w:numId w:val="2"/>
        </w:numPr>
        <w:spacing w:after="60" w:before="60"/>
      </w:pPr>
      <w:r>
        <w:rPr>
          <w:rFonts w:ascii="Arial" w:cs="Arial" w:eastAsia="Arial" w:hAnsi="Arial"/>
          <w:sz w:val="22"/>
          <w:szCs w:val="22"/>
        </w:rPr>
        <w:t xml:space="preserve">Limited understanding of distinct learner behavior patterns across the user base</w:t>
      </w:r>
    </w:p>
    <w:p>
      <w:pPr>
        <w:pStyle w:val="ListParagraph"/>
        <w:numPr>
          <w:ilvl w:val="0"/>
          <w:numId w:val="2"/>
        </w:numPr>
        <w:spacing w:after="60" w:before="60"/>
      </w:pPr>
      <w:r>
        <w:rPr>
          <w:rFonts w:ascii="Arial" w:cs="Arial" w:eastAsia="Arial" w:hAnsi="Arial"/>
          <w:sz w:val="22"/>
          <w:szCs w:val="22"/>
        </w:rPr>
        <w:t xml:space="preserve">No structured learner segmentation framework to enable targeted marketing or personalized learning journeys</w:t>
      </w:r>
    </w:p>
    <w:p>
      <w:pPr>
        <w:spacing w:after="80" w:before="80"/>
      </w:pPr>
      <w:r>
        <w:t xml:space="preserve"/>
      </w:r>
    </w:p>
    <w:p>
      <w:pPr>
        <w:spacing w:after="80" w:before="80" w:line="360"/>
        <w:jc w:val="both"/>
      </w:pPr>
      <w:r>
        <w:rPr>
          <w:rFonts w:ascii="Arial" w:cs="Arial" w:eastAsia="Arial" w:hAnsi="Arial"/>
          <w:sz w:val="22"/>
          <w:szCs w:val="22"/>
        </w:rPr>
        <w:t xml:space="preserve">As a result, learners struggle to discover relevant content, and engagement and retention opportunities are lost.</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1.3 Objectives</w:t>
      </w:r>
    </w:p>
    <w:p>
      <w:pPr>
        <w:pStyle w:val="ListParagraph"/>
        <w:numPr>
          <w:ilvl w:val="0"/>
          <w:numId w:val="2"/>
        </w:numPr>
        <w:spacing w:after="60" w:before="60"/>
      </w:pPr>
      <w:r>
        <w:rPr>
          <w:rFonts w:ascii="Arial" w:cs="Arial" w:eastAsia="Arial" w:hAnsi="Arial"/>
          <w:sz w:val="22"/>
          <w:szCs w:val="22"/>
        </w:rPr>
        <w:t xml:space="preserve">Perform comprehensive exploratory data analysis on the EduPro dataset</w:t>
      </w:r>
    </w:p>
    <w:p>
      <w:pPr>
        <w:pStyle w:val="ListParagraph"/>
        <w:numPr>
          <w:ilvl w:val="0"/>
          <w:numId w:val="2"/>
        </w:numPr>
        <w:spacing w:after="60" w:before="60"/>
      </w:pPr>
      <w:r>
        <w:rPr>
          <w:rFonts w:ascii="Arial" w:cs="Arial" w:eastAsia="Arial" w:hAnsi="Arial"/>
          <w:sz w:val="22"/>
          <w:szCs w:val="22"/>
        </w:rPr>
        <w:t xml:space="preserve">Engineer meaningful learner-level behavioral and preference features</w:t>
      </w:r>
    </w:p>
    <w:p>
      <w:pPr>
        <w:pStyle w:val="ListParagraph"/>
        <w:numPr>
          <w:ilvl w:val="0"/>
          <w:numId w:val="2"/>
        </w:numPr>
        <w:spacing w:after="60" w:before="60"/>
      </w:pPr>
      <w:r>
        <w:rPr>
          <w:rFonts w:ascii="Arial" w:cs="Arial" w:eastAsia="Arial" w:hAnsi="Arial"/>
          <w:sz w:val="22"/>
          <w:szCs w:val="22"/>
        </w:rPr>
        <w:t xml:space="preserve">Apply unsupervised clustering algorithms to identify distinct learner segments</w:t>
      </w:r>
    </w:p>
    <w:p>
      <w:pPr>
        <w:pStyle w:val="ListParagraph"/>
        <w:numPr>
          <w:ilvl w:val="0"/>
          <w:numId w:val="2"/>
        </w:numPr>
        <w:spacing w:after="60" w:before="60"/>
      </w:pPr>
      <w:r>
        <w:rPr>
          <w:rFonts w:ascii="Arial" w:cs="Arial" w:eastAsia="Arial" w:hAnsi="Arial"/>
          <w:sz w:val="22"/>
          <w:szCs w:val="22"/>
        </w:rPr>
        <w:t xml:space="preserve">Build a personalized course recommendation engine tailored to each segment</w:t>
      </w:r>
    </w:p>
    <w:p>
      <w:pPr>
        <w:pStyle w:val="ListParagraph"/>
        <w:numPr>
          <w:ilvl w:val="0"/>
          <w:numId w:val="2"/>
        </w:numPr>
        <w:spacing w:after="60" w:before="60"/>
      </w:pPr>
      <w:r>
        <w:rPr>
          <w:rFonts w:ascii="Arial" w:cs="Arial" w:eastAsia="Arial" w:hAnsi="Arial"/>
          <w:sz w:val="22"/>
          <w:szCs w:val="22"/>
        </w:rPr>
        <w:t xml:space="preserve">Deploy an interactive Streamlit dashboard for stakeholder access</w:t>
      </w:r>
    </w:p>
    <w:p>
      <w:pPr>
        <w:spacing w:after="80" w:before="80"/>
      </w:pPr>
      <w:r>
        <w:t xml:space="preserve"/>
      </w:r>
    </w:p>
    <w:p>
      <w:pPr>
        <w:pStyle w:val="Heading1"/>
        <w:pBdr>
          <w:bottom w:val="single" w:color="1F3864" w:sz="6" w:space="1"/>
        </w:pBdr>
        <w:spacing w:after="120" w:before="320"/>
      </w:pPr>
      <w:r>
        <w:rPr>
          <w:rFonts w:ascii="Arial" w:cs="Arial" w:eastAsia="Arial" w:hAnsi="Arial"/>
          <w:b/>
          <w:bCs/>
          <w:color w:val="1F3864"/>
          <w:sz w:val="28"/>
          <w:szCs w:val="28"/>
        </w:rPr>
        <w:t xml:space="preserve">2. Literature Review</w:t>
      </w:r>
    </w:p>
    <w:p>
      <w:pPr>
        <w:spacing w:after="80" w:before="80" w:line="360"/>
        <w:jc w:val="both"/>
      </w:pPr>
      <w:r>
        <w:rPr>
          <w:rFonts w:ascii="Arial" w:cs="Arial" w:eastAsia="Arial" w:hAnsi="Arial"/>
          <w:sz w:val="22"/>
          <w:szCs w:val="22"/>
        </w:rPr>
        <w:t xml:space="preserve">Personalized learning systems have been extensively studied in the educational data mining (EDM) and learning analytics (LA) communities. Early works by Baker &amp; Yacef (2009) established foundational EDM methodologies for understanding student behavior patterns. Collaborative filtering, pioneered by Goldberg et al. (1992) and later popularized by Amazon and Netflix, forms the backbone of most commercial recommendation systems. However, pure collaborative filtering suffers from the cold-start problem — new users with no history receive poor recommendations.</w:t>
      </w:r>
    </w:p>
    <w:p>
      <w:pPr>
        <w:spacing w:after="80" w:before="80" w:line="360"/>
        <w:jc w:val="both"/>
      </w:pPr>
      <w:r>
        <w:rPr>
          <w:rFonts w:ascii="Arial" w:cs="Arial" w:eastAsia="Arial" w:hAnsi="Arial"/>
          <w:sz w:val="22"/>
          <w:szCs w:val="22"/>
        </w:rPr>
        <w:t xml:space="preserve">Content-based filtering (CBF) addresses this by matching learner preferences to item attributes, making it suitable for sparse interaction data typical of e-learning platforms. Hybrid approaches combining CBF with cluster-based user profiling have shown superior performance in educational contexts (Klašnja-Milićević et al., 2017). K-Means clustering remains the dominant technique for learner segmentation due to its scalability and interpretability, with silhouette analysis providing reliable cluster quality assessment (Rousseeuw, 1987).</w:t>
      </w:r>
    </w:p>
    <w:p>
      <w:pPr>
        <w:spacing w:after="80" w:before="80" w:line="360"/>
        <w:jc w:val="both"/>
      </w:pPr>
      <w:r>
        <w:rPr>
          <w:rFonts w:ascii="Arial" w:cs="Arial" w:eastAsia="Arial" w:hAnsi="Arial"/>
          <w:sz w:val="22"/>
          <w:szCs w:val="22"/>
        </w:rPr>
        <w:t xml:space="preserve">More recent work by Nabizadeh et al. (2020) on adaptive learning paths and by Thai-Nghe et al. on matrix factorization for e-learning recommendation further motivates a hybrid, cluster-aware approach that balances scalability with personalization depth — the approach adopted in this study.</w:t>
      </w:r>
    </w:p>
    <w:p>
      <w:pPr>
        <w:spacing w:after="80" w:before="80"/>
      </w:pPr>
      <w:r>
        <w:t xml:space="preserve"/>
      </w:r>
    </w:p>
    <w:p>
      <w:pPr>
        <w:pStyle w:val="Heading1"/>
        <w:pBdr>
          <w:bottom w:val="single" w:color="1F3864" w:sz="6" w:space="1"/>
        </w:pBdr>
        <w:spacing w:after="120" w:before="320"/>
      </w:pPr>
      <w:r>
        <w:rPr>
          <w:rFonts w:ascii="Arial" w:cs="Arial" w:eastAsia="Arial" w:hAnsi="Arial"/>
          <w:b/>
          <w:bCs/>
          <w:color w:val="1F3864"/>
          <w:sz w:val="28"/>
          <w:szCs w:val="28"/>
        </w:rPr>
        <w:t xml:space="preserve">3. Dataset Description</w:t>
      </w:r>
    </w:p>
    <w:p>
      <w:pPr>
        <w:pStyle w:val="Heading2"/>
        <w:spacing w:after="80" w:before="240"/>
      </w:pPr>
      <w:r>
        <w:rPr>
          <w:rFonts w:ascii="Arial" w:cs="Arial" w:eastAsia="Arial" w:hAnsi="Arial"/>
          <w:b/>
          <w:bCs/>
          <w:color w:val="2E75B6"/>
          <w:sz w:val="24"/>
          <w:szCs w:val="24"/>
        </w:rPr>
        <w:t xml:space="preserve">3.1 Data Sources</w:t>
      </w:r>
    </w:p>
    <w:p>
      <w:pPr>
        <w:spacing w:after="80" w:before="80" w:line="360"/>
        <w:jc w:val="both"/>
      </w:pPr>
      <w:r>
        <w:rPr>
          <w:rFonts w:ascii="Arial" w:cs="Arial" w:eastAsia="Arial" w:hAnsi="Arial"/>
          <w:sz w:val="22"/>
          <w:szCs w:val="22"/>
        </w:rPr>
        <w:t xml:space="preserve">The EduPro dataset comprises three relational tables: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UserID, Age, Gender, Email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CourseID, CourseCategory, CourseType, CourseLevel, CourseRating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11,470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UserID, CourseID, TransactionDate, Amount</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3.2 Descriptive Statistics</w:t>
      </w:r>
    </w:p>
    <w:p>
      <w:pPr>
        <w:pStyle w:val="ListParagraph"/>
        <w:numPr>
          <w:ilvl w:val="0"/>
          <w:numId w:val="2"/>
        </w:numPr>
        <w:spacing w:after="60" w:before="60"/>
      </w:pPr>
      <w:r>
        <w:rPr>
          <w:rFonts w:ascii="Arial" w:cs="Arial" w:eastAsia="Arial" w:hAnsi="Arial"/>
          <w:sz w:val="22"/>
          <w:szCs w:val="22"/>
        </w:rPr>
        <w:t xml:space="preserve">Users: Age range 15–60, Mean age ~25 years, Gender split approximately 50/50</w:t>
      </w:r>
    </w:p>
    <w:p>
      <w:pPr>
        <w:pStyle w:val="ListParagraph"/>
        <w:numPr>
          <w:ilvl w:val="0"/>
          <w:numId w:val="2"/>
        </w:numPr>
        <w:spacing w:after="60" w:before="60"/>
      </w:pPr>
      <w:r>
        <w:rPr>
          <w:rFonts w:ascii="Arial" w:cs="Arial" w:eastAsia="Arial" w:hAnsi="Arial"/>
          <w:sz w:val="22"/>
          <w:szCs w:val="22"/>
        </w:rPr>
        <w:t xml:space="preserve">Courses: 8 categories (AI/ML, Data Science, Web Development, Business, Design, Marketing, Cybersecurity, Finance), 3 levels (Beginner/Intermediate/Advanced), ratings 2.5–5.0</w:t>
      </w:r>
    </w:p>
    <w:p>
      <w:pPr>
        <w:pStyle w:val="ListParagraph"/>
        <w:numPr>
          <w:ilvl w:val="0"/>
          <w:numId w:val="2"/>
        </w:numPr>
        <w:spacing w:after="60" w:before="60"/>
      </w:pPr>
      <w:r>
        <w:rPr>
          <w:rFonts w:ascii="Arial" w:cs="Arial" w:eastAsia="Arial" w:hAnsi="Arial"/>
          <w:sz w:val="22"/>
          <w:szCs w:val="22"/>
        </w:rPr>
        <w:t xml:space="preserve">Transactions: Average 3.8 enrollments per user, transaction amounts $0–$200, spanning 2 years (2023–2024)</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3.3 Data Quality</w:t>
      </w:r>
    </w:p>
    <w:p>
      <w:pPr>
        <w:spacing w:after="80" w:before="80" w:line="360"/>
        <w:jc w:val="both"/>
      </w:pPr>
      <w:r>
        <w:rPr>
          <w:rFonts w:ascii="Arial" w:cs="Arial" w:eastAsia="Arial" w:hAnsi="Arial"/>
          <w:sz w:val="22"/>
          <w:szCs w:val="22"/>
        </w:rPr>
        <w:t xml:space="preserve">No missing values were identified across all three tables. Categorical fields were validated for consistency. Transaction dates were converted to datetime format for temporal analysis. All numerical features were normalized prior to clustering using StandardScaler.</w:t>
      </w:r>
    </w:p>
    <w:p>
      <w:pPr>
        <w:spacing w:after="80" w:before="80"/>
      </w:pPr>
      <w:r>
        <w:t xml:space="preserve"/>
      </w:r>
    </w:p>
    <w:p>
      <w:pPr>
        <w:pStyle w:val="Heading1"/>
        <w:pBdr>
          <w:bottom w:val="single" w:color="1F3864" w:sz="6" w:space="1"/>
        </w:pBdr>
        <w:spacing w:after="120" w:before="320"/>
      </w:pPr>
      <w:r>
        <w:rPr>
          <w:rFonts w:ascii="Arial" w:cs="Arial" w:eastAsia="Arial" w:hAnsi="Arial"/>
          <w:b/>
          <w:bCs/>
          <w:color w:val="1F3864"/>
          <w:sz w:val="28"/>
          <w:szCs w:val="28"/>
        </w:rPr>
        <w:t xml:space="preserve">4. Methodology</w:t>
      </w:r>
    </w:p>
    <w:p>
      <w:pPr>
        <w:pStyle w:val="Heading2"/>
        <w:spacing w:after="80" w:before="240"/>
      </w:pPr>
      <w:r>
        <w:rPr>
          <w:rFonts w:ascii="Arial" w:cs="Arial" w:eastAsia="Arial" w:hAnsi="Arial"/>
          <w:b/>
          <w:bCs/>
          <w:color w:val="2E75B6"/>
          <w:sz w:val="24"/>
          <w:szCs w:val="24"/>
        </w:rPr>
        <w:t xml:space="preserve">4.1 Feature Engineering</w:t>
      </w:r>
    </w:p>
    <w:p>
      <w:pPr>
        <w:spacing w:after="80" w:before="80" w:line="360"/>
        <w:jc w:val="both"/>
      </w:pPr>
      <w:r>
        <w:rPr>
          <w:rFonts w:ascii="Arial" w:cs="Arial" w:eastAsia="Arial" w:hAnsi="Arial"/>
          <w:sz w:val="22"/>
          <w:szCs w:val="22"/>
        </w:rPr>
        <w:t xml:space="preserve">Learner-level features were engineered across three categories: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 Category</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courses enrolled, Enrollment frequency, Total spending, Avg spending/course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Measures activity level and financial commitment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Preferred category, Preferred level, Category diversity, Avg rating enrolled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Captures content affinity and breadth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depth index (Advanced/Beginner ratio), Diversity score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Indicates learning maturity and exploration style</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4.2 Data Preprocessing</w:t>
      </w:r>
    </w:p>
    <w:p>
      <w:pPr>
        <w:pStyle w:val="ListParagraph"/>
        <w:numPr>
          <w:ilvl w:val="0"/>
          <w:numId w:val="2"/>
        </w:numPr>
        <w:spacing w:after="60" w:before="60"/>
      </w:pPr>
      <w:r>
        <w:rPr>
          <w:rFonts w:ascii="Arial" w:cs="Arial" w:eastAsia="Arial" w:hAnsi="Arial"/>
          <w:sz w:val="22"/>
          <w:szCs w:val="22"/>
        </w:rPr>
        <w:t xml:space="preserve">Categorical encoding: LabelEncoder applied to preferred_category, preferred_level, and gender</w:t>
      </w:r>
    </w:p>
    <w:p>
      <w:pPr>
        <w:pStyle w:val="ListParagraph"/>
        <w:numPr>
          <w:ilvl w:val="0"/>
          <w:numId w:val="2"/>
        </w:numPr>
        <w:spacing w:after="60" w:before="60"/>
      </w:pPr>
      <w:r>
        <w:rPr>
          <w:rFonts w:ascii="Arial" w:cs="Arial" w:eastAsia="Arial" w:hAnsi="Arial"/>
          <w:sz w:val="22"/>
          <w:szCs w:val="22"/>
        </w:rPr>
        <w:t xml:space="preserve">Normalization: StandardScaler applied to all 10 numeric features to ensure equal contribution</w:t>
      </w:r>
    </w:p>
    <w:p>
      <w:pPr>
        <w:pStyle w:val="ListParagraph"/>
        <w:numPr>
          <w:ilvl w:val="0"/>
          <w:numId w:val="2"/>
        </w:numPr>
        <w:spacing w:after="60" w:before="60"/>
      </w:pPr>
      <w:r>
        <w:rPr>
          <w:rFonts w:ascii="Arial" w:cs="Arial" w:eastAsia="Arial" w:hAnsi="Arial"/>
          <w:sz w:val="22"/>
          <w:szCs w:val="22"/>
        </w:rPr>
        <w:t xml:space="preserve">Noise reduction: Sparse enrollment patterns smoothed via aggregation at UserID level</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4.3 Clustering Approach</w:t>
      </w:r>
    </w:p>
    <w:p>
      <w:pPr>
        <w:spacing w:after="80" w:before="80" w:line="360"/>
        <w:jc w:val="both"/>
      </w:pPr>
      <w:r>
        <w:rPr>
          <w:rFonts w:ascii="Arial" w:cs="Arial" w:eastAsia="Arial" w:hAnsi="Arial"/>
          <w:sz w:val="22"/>
          <w:szCs w:val="22"/>
        </w:rPr>
        <w:t xml:space="preserve">K-Means clustering was selected as the primary algorithm due to its computational efficiency on 3,000 samples and interpretable centroid-based profiles. The Elbow Method was used to assess inertia across k=2 to k=8, and Silhouette Scores were computed for each k to identify the optimal cluster count. k=4 was selected, balancing statistical optimization with business interpretability.</w:t>
      </w:r>
    </w:p>
    <w:p>
      <w:pPr>
        <w:spacing w:after="80" w:before="80" w:line="360"/>
        <w:jc w:val="both"/>
      </w:pPr>
      <w:r>
        <w:rPr>
          <w:rFonts w:ascii="Arial" w:cs="Arial" w:eastAsia="Arial" w:hAnsi="Arial"/>
          <w:sz w:val="22"/>
          <w:szCs w:val="22"/>
        </w:rPr>
        <w:t xml:space="preserve">Agglomerative Hierarchical Clustering (Ward linkage) was applied at k=4 as a validation method. The silhouette scores from both methods were compared to confirm cluster stability.</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4.4 Recommendation Engine</w:t>
      </w:r>
    </w:p>
    <w:p>
      <w:pPr>
        <w:spacing w:after="80" w:before="80" w:line="360"/>
        <w:jc w:val="both"/>
      </w:pPr>
      <w:r>
        <w:rPr>
          <w:rFonts w:ascii="Arial" w:cs="Arial" w:eastAsia="Arial" w:hAnsi="Arial"/>
          <w:sz w:val="22"/>
          <w:szCs w:val="22"/>
        </w:rPr>
        <w:t xml:space="preserve">The recommendation engine combines three signals:</w:t>
      </w:r>
    </w:p>
    <w:p>
      <w:pPr>
        <w:pStyle w:val="ListParagraph"/>
        <w:numPr>
          <w:ilvl w:val="0"/>
          <w:numId w:val="2"/>
        </w:numPr>
        <w:spacing w:after="60" w:before="60"/>
      </w:pPr>
      <w:r>
        <w:rPr>
          <w:rFonts w:ascii="Arial" w:cs="Arial" w:eastAsia="Arial" w:hAnsi="Arial"/>
          <w:sz w:val="22"/>
          <w:szCs w:val="22"/>
        </w:rPr>
        <w:t xml:space="preserve">Content-based filtering: Matches unenrolled courses to the learner's preferred category (+3 points) and preferred level (+2 points)</w:t>
      </w:r>
    </w:p>
    <w:p>
      <w:pPr>
        <w:pStyle w:val="ListParagraph"/>
        <w:numPr>
          <w:ilvl w:val="0"/>
          <w:numId w:val="2"/>
        </w:numPr>
        <w:spacing w:after="60" w:before="60"/>
      </w:pPr>
      <w:r>
        <w:rPr>
          <w:rFonts w:ascii="Arial" w:cs="Arial" w:eastAsia="Arial" w:hAnsi="Arial"/>
          <w:sz w:val="22"/>
          <w:szCs w:val="22"/>
        </w:rPr>
        <w:t xml:space="preserve">Course quality: Rating-weighted relevance (CourseRating / 5.0) rewards highly-rated courses</w:t>
      </w:r>
    </w:p>
    <w:p>
      <w:pPr>
        <w:pStyle w:val="ListParagraph"/>
        <w:numPr>
          <w:ilvl w:val="0"/>
          <w:numId w:val="2"/>
        </w:numPr>
        <w:spacing w:after="60" w:before="60"/>
      </w:pPr>
      <w:r>
        <w:rPr>
          <w:rFonts w:ascii="Arial" w:cs="Arial" w:eastAsia="Arial" w:hAnsi="Arial"/>
          <w:sz w:val="22"/>
          <w:szCs w:val="22"/>
        </w:rPr>
        <w:t xml:space="preserve">Cluster-based popularity: Counts how many cluster peers have enrolled in each course, normalized to [0,1], rewarding courses popular within the learner's behavioral segment</w:t>
      </w:r>
    </w:p>
    <w:p>
      <w:pPr>
        <w:spacing w:after="80" w:before="80" w:line="360"/>
        <w:jc w:val="both"/>
      </w:pPr>
      <w:r>
        <w:rPr>
          <w:rFonts w:ascii="Arial" w:cs="Arial" w:eastAsia="Arial" w:hAnsi="Arial"/>
          <w:sz w:val="22"/>
          <w:szCs w:val="22"/>
        </w:rPr>
        <w:t xml:space="preserve">Final score = category_match(3) + level_match(2) + rating_score(0-1) + peer_popularity(0-1). Courses already enrolled by the user are excluded.</w:t>
      </w:r>
    </w:p>
    <w:p>
      <w:pPr>
        <w:spacing w:after="80" w:before="80"/>
      </w:pPr>
      <w:r>
        <w:t xml:space="preserve"/>
      </w:r>
    </w:p>
    <w:p>
      <w:pPr>
        <w:pStyle w:val="Heading1"/>
        <w:pBdr>
          <w:bottom w:val="single" w:color="1F3864" w:sz="6" w:space="1"/>
        </w:pBdr>
        <w:spacing w:after="120" w:before="320"/>
      </w:pPr>
      <w:r>
        <w:rPr>
          <w:rFonts w:ascii="Arial" w:cs="Arial" w:eastAsia="Arial" w:hAnsi="Arial"/>
          <w:b/>
          <w:bCs/>
          <w:color w:val="1F3864"/>
          <w:sz w:val="28"/>
          <w:szCs w:val="28"/>
        </w:rPr>
        <w:t xml:space="preserve">5. Results and Analysis</w:t>
      </w:r>
    </w:p>
    <w:p>
      <w:pPr>
        <w:pStyle w:val="Heading2"/>
        <w:spacing w:after="80" w:before="240"/>
      </w:pPr>
      <w:r>
        <w:rPr>
          <w:rFonts w:ascii="Arial" w:cs="Arial" w:eastAsia="Arial" w:hAnsi="Arial"/>
          <w:b/>
          <w:bCs/>
          <w:color w:val="2E75B6"/>
          <w:sz w:val="24"/>
          <w:szCs w:val="24"/>
        </w:rPr>
        <w:t xml:space="preserve">5.1 Cluster Profiles</w:t>
      </w:r>
    </w:p>
    <w:p>
      <w:pPr>
        <w:spacing w:after="80" w:before="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gridCol w:w="1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Avg Courses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Avg Spend ($)</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 Category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 Explorers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921 (30.7%)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Learners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675 (22.5%)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Browsers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640 (21.3%)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Cybersecurity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Focused Achievers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764 (25.5%)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5.2 Cluster Interpretations</w:t>
      </w:r>
    </w:p>
    <w:p>
      <w:pPr>
        <w:spacing w:after="80" w:before="80" w:line="360"/>
        <w:jc w:val="both"/>
      </w:pPr>
      <w:r>
        <w:rPr>
          <w:rFonts w:ascii="Arial" w:cs="Arial" w:eastAsia="Arial" w:hAnsi="Arial"/>
          <w:sz w:val="22"/>
          <w:szCs w:val="22"/>
        </w:rPr>
        <w:t xml:space="preserve">Casual Explorers (30.7%): The largest segment, characterized by moderate enrollment (3.5 courses avg), limited spending, and beginner-level preferences. These learners are sampling the platform without deep commitment. Recommended strategy: onboarding nudges, free introductory courses, and gamification elements.</w:t>
      </w:r>
    </w:p>
    <w:p>
      <w:pPr>
        <w:spacing w:after="80" w:before="80" w:line="360"/>
        <w:jc w:val="both"/>
      </w:pPr>
      <w:r>
        <w:rPr>
          <w:rFonts w:ascii="Arial" w:cs="Arial" w:eastAsia="Arial" w:hAnsi="Arial"/>
          <w:sz w:val="22"/>
          <w:szCs w:val="22"/>
        </w:rPr>
        <w:t xml:space="preserve">Power Learners (22.5%): The highest-value segment with 6.1 avg courses and $622 avg spending. They gravitate toward advanced content and exhibit high category diversity. Recommended strategy: subscription bundles, advanced certification tracks, and cohort-based programs.</w:t>
      </w:r>
    </w:p>
    <w:p>
      <w:pPr>
        <w:spacing w:after="80" w:before="80" w:line="360"/>
        <w:jc w:val="both"/>
      </w:pPr>
      <w:r>
        <w:rPr>
          <w:rFonts w:ascii="Arial" w:cs="Arial" w:eastAsia="Arial" w:hAnsi="Arial"/>
          <w:sz w:val="22"/>
          <w:szCs w:val="22"/>
        </w:rPr>
        <w:t xml:space="preserve">Budget Browsers (21.3%): Low enrollment (2.3 courses) and minimal spending ($156). Despite low engagement, they prefer advanced Cybersecurity content — suggesting high intent but price sensitivity. Recommended strategy: discount offers, flash sales, and free trial content in their preferred niche.</w:t>
      </w:r>
    </w:p>
    <w:p>
      <w:pPr>
        <w:spacing w:after="80" w:before="80" w:line="360"/>
        <w:jc w:val="both"/>
      </w:pPr>
      <w:r>
        <w:rPr>
          <w:rFonts w:ascii="Arial" w:cs="Arial" w:eastAsia="Arial" w:hAnsi="Arial"/>
          <w:sz w:val="22"/>
          <w:szCs w:val="22"/>
        </w:rPr>
        <w:t xml:space="preserve">Focused Achievers (25.5%): Moderate enrollment with an exceptionally high Learning Depth Index (1.45 vs cluster avg 0.27). These learners systematically advance through difficulty levels in focused domains. Recommended strategy: learning path roadmaps, skill-based badges, and progressive course sequences.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5.3 Evaluation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Silhouette Score (K-Means, k=4)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0.1142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acceptable for high-dimensional behavioral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Silhouette Score (Hierarchical, k=4)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with K-Means, confirms stability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Inertia (K-Means, k=4)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21,142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in Elbow analysis; plateau confirms k=4 selection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 Lift — Power Learners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+58.3% courses, +63.5% spend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Highest-value segment significantly above average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 Lift — Budget Browsers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-38.9% courses, -59.0% spend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Clearly distinct low-engagement cluster</w:t>
            </w:r>
          </w:p>
        </w:tc>
      </w:tr>
    </w:tbl>
    <w:p>
      <w:pPr>
        <w:spacing w:after="80" w:before="80"/>
      </w:pPr>
      <w:r>
        <w:t xml:space="preserve"/>
      </w:r>
    </w:p>
    <w:p>
      <w:pPr>
        <w:pStyle w:val="Heading1"/>
        <w:pBdr>
          <w:bottom w:val="single" w:color="1F3864" w:sz="6" w:space="1"/>
        </w:pBdr>
        <w:spacing w:after="120" w:before="320"/>
      </w:pPr>
      <w:r>
        <w:rPr>
          <w:rFonts w:ascii="Arial" w:cs="Arial" w:eastAsia="Arial" w:hAnsi="Arial"/>
          <w:b/>
          <w:bCs/>
          <w:color w:val="1F3864"/>
          <w:sz w:val="28"/>
          <w:szCs w:val="28"/>
        </w:rPr>
        <w:t xml:space="preserve">6. Streamlit Web Application</w:t>
      </w:r>
    </w:p>
    <w:p>
      <w:pPr>
        <w:spacing w:after="80" w:before="80" w:line="360"/>
        <w:jc w:val="both"/>
      </w:pPr>
      <w:r>
        <w:rPr>
          <w:rFonts w:ascii="Arial" w:cs="Arial" w:eastAsia="Arial" w:hAnsi="Arial"/>
          <w:sz w:val="22"/>
          <w:szCs w:val="22"/>
        </w:rPr>
        <w:t xml:space="preserve">The interactive dashboard was built using Streamlit and provides five core modules aligned with the project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Functionality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 &amp; EDA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Gender pie, age histogram, category/level bar charts, spending distribution, heatmap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Clustering Analysis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Elbow curve, silhouette bar chart, cluster size distribution, profile table, feature comparison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 Profile Explorer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UserID selector, segment badge, behavioral metrics, enrolled courses, learner vs cluster chart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 Recommender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Cluster-aware top-N recommendations with relevance score bars and peer enrollment counts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Segment Comparison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Side-by-side segment cards, spending overlap histogram, category preference breakdown, engagement lift table</w:t>
            </w:r>
          </w:p>
        </w:tc>
      </w:tr>
    </w:tbl>
    <w:p>
      <w:pPr>
        <w:spacing w:after="80" w:before="80"/>
      </w:pPr>
      <w:r>
        <w:t xml:space="preserve"/>
      </w:r>
    </w:p>
    <w:p>
      <w:pPr>
        <w:pStyle w:val="Heading1"/>
        <w:pBdr>
          <w:bottom w:val="single" w:color="1F3864" w:sz="6" w:space="1"/>
        </w:pBdr>
        <w:spacing w:after="120" w:before="320"/>
      </w:pPr>
      <w:r>
        <w:rPr>
          <w:rFonts w:ascii="Arial" w:cs="Arial" w:eastAsia="Arial" w:hAnsi="Arial"/>
          <w:b/>
          <w:bCs/>
          <w:color w:val="1F3864"/>
          <w:sz w:val="28"/>
          <w:szCs w:val="28"/>
        </w:rPr>
        <w:t xml:space="preserve">7. Conclusion</w:t>
      </w:r>
    </w:p>
    <w:p>
      <w:pPr>
        <w:spacing w:after="80" w:before="80" w:line="360"/>
        <w:jc w:val="both"/>
      </w:pPr>
      <w:r>
        <w:rPr>
          <w:rFonts w:ascii="Arial" w:cs="Arial" w:eastAsia="Arial" w:hAnsi="Arial"/>
          <w:sz w:val="22"/>
          <w:szCs w:val="22"/>
        </w:rPr>
        <w:t xml:space="preserve">This project successfully introduces student-centric intelligence to the EduPro platform. By shifting focus from predicting course demand to understanding learner journeys, the system enables EduPro to deliver meaningful, adaptive, and engaging learning experiences.</w:t>
      </w:r>
    </w:p>
    <w:p>
      <w:pPr>
        <w:spacing w:after="80" w:before="80" w:line="360"/>
        <w:jc w:val="both"/>
      </w:pPr>
      <w:r>
        <w:rPr>
          <w:rFonts w:ascii="Arial" w:cs="Arial" w:eastAsia="Arial" w:hAnsi="Arial"/>
          <w:sz w:val="22"/>
          <w:szCs w:val="22"/>
        </w:rPr>
        <w:t xml:space="preserve">The K-Means segmentation framework identifies four actionable learner profiles with distinct behavioral characteristics, enabling targeted marketing, personalized recommendations, and tailored learning path design. The cluster-aware recommendation engine — combining content-based filtering with peer popularity signals — provides a scalable, interpretable alternative to complex collaborative filtering approaches while avoiding the cold-start problem.</w:t>
      </w:r>
    </w:p>
    <w:p>
      <w:pPr>
        <w:spacing w:after="80" w:before="80" w:line="360"/>
        <w:jc w:val="both"/>
      </w:pPr>
      <w:r>
        <w:rPr>
          <w:rFonts w:ascii="Arial" w:cs="Arial" w:eastAsia="Arial" w:hAnsi="Arial"/>
          <w:sz w:val="22"/>
          <w:szCs w:val="22"/>
        </w:rPr>
        <w:t xml:space="preserve">Future work could incorporate temporal analysis of learning progression, deep learning-based embedding models for richer course-learner matching, and A/B testing frameworks to measure recommendation impact on completion rates and platform retention.</w:t>
      </w:r>
    </w:p>
    <w:p>
      <w:pPr>
        <w:spacing w:after="80" w:before="80"/>
      </w:pPr>
      <w:r>
        <w:t xml:space="preserve"/>
      </w:r>
    </w:p>
    <w:p>
      <w:pPr>
        <w:pStyle w:val="Heading1"/>
        <w:pBdr>
          <w:bottom w:val="single" w:color="1F3864" w:sz="6" w:space="1"/>
        </w:pBdr>
        <w:spacing w:after="120" w:before="320"/>
      </w:pPr>
      <w:r>
        <w:rPr>
          <w:rFonts w:ascii="Arial" w:cs="Arial" w:eastAsia="Arial" w:hAnsi="Arial"/>
          <w:b/>
          <w:bCs/>
          <w:color w:val="1F3864"/>
          <w:sz w:val="28"/>
          <w:szCs w:val="28"/>
        </w:rPr>
        <w:t xml:space="preserve">References</w:t>
      </w:r>
    </w:p>
    <w:p>
      <w:pPr>
        <w:spacing w:after="80" w:before="80" w:line="360"/>
        <w:jc w:val="left"/>
      </w:pPr>
      <w:r>
        <w:rPr>
          <w:rFonts w:ascii="Arial" w:cs="Arial" w:eastAsia="Arial" w:hAnsi="Arial"/>
          <w:sz w:val="22"/>
          <w:szCs w:val="22"/>
        </w:rPr>
        <w:t xml:space="preserve">Baker, R. S. J. d., &amp; Yacef, K. (2009). The state of educational data mining in 2009: A review and future visions. Journal of Educational Data Mining, 1(1), 3-17.</w:t>
      </w:r>
    </w:p>
    <w:p>
      <w:pPr>
        <w:spacing w:after="80" w:before="80" w:line="360"/>
        <w:jc w:val="left"/>
      </w:pPr>
      <w:r>
        <w:rPr>
          <w:rFonts w:ascii="Arial" w:cs="Arial" w:eastAsia="Arial" w:hAnsi="Arial"/>
          <w:sz w:val="22"/>
          <w:szCs w:val="22"/>
        </w:rPr>
        <w:t xml:space="preserve">Goldberg, D., Nichols, D., Oki, B. M., &amp; Terry, D. (1992). Using collaborative filtering to weave an information tapestry. Communications of the ACM, 35(12), 61-70.</w:t>
      </w:r>
    </w:p>
    <w:p>
      <w:pPr>
        <w:spacing w:after="80" w:before="80" w:line="360"/>
        <w:jc w:val="left"/>
      </w:pPr>
      <w:r>
        <w:rPr>
          <w:rFonts w:ascii="Arial" w:cs="Arial" w:eastAsia="Arial" w:hAnsi="Arial"/>
          <w:sz w:val="22"/>
          <w:szCs w:val="22"/>
        </w:rPr>
        <w:t xml:space="preserve">Klašnja-Milićević, A., Vesin, B., Ivanović, M., Budimac, Z., &amp; Jain, L. C. (2017). E-Learning Personalization Based on Hybrid Recommendation Strategy and Learning Style Identification. Computers &amp; Education, 103, 1-14.</w:t>
      </w:r>
    </w:p>
    <w:p>
      <w:pPr>
        <w:spacing w:after="80" w:before="80" w:line="360"/>
        <w:jc w:val="left"/>
      </w:pPr>
      <w:r>
        <w:rPr>
          <w:rFonts w:ascii="Arial" w:cs="Arial" w:eastAsia="Arial" w:hAnsi="Arial"/>
          <w:sz w:val="22"/>
          <w:szCs w:val="22"/>
        </w:rPr>
        <w:t xml:space="preserve">Nabizadeh, A. H., Leal, J. P., Rafsanjani, H. N., &amp; Shah, R. R. (2020). Learning path personalization and recommendation methods: A survey of the state-of-the-art. Expert Systems with Applications, 159, 113596.</w:t>
      </w:r>
    </w:p>
    <w:p>
      <w:pPr>
        <w:spacing w:after="80" w:before="80" w:line="360"/>
        <w:jc w:val="left"/>
      </w:pPr>
      <w:r>
        <w:rPr>
          <w:rFonts w:ascii="Arial" w:cs="Arial" w:eastAsia="Arial" w:hAnsi="Arial"/>
          <w:sz w:val="22"/>
          <w:szCs w:val="22"/>
        </w:rPr>
        <w:t xml:space="preserve">Rousseeuw, P. J. (1987). Silhouettes: A graphical aid to the interpretation and validation of cluster analysis. Journal of Computational and Applied Mathematics, 20, 53-65.</w:t>
      </w:r>
    </w:p>
    <w:p>
      <w:pPr>
        <w:spacing w:after="80" w:before="80" w:line="360"/>
        <w:jc w:val="left"/>
      </w:pPr>
      <w:r>
        <w:rPr>
          <w:rFonts w:ascii="Arial" w:cs="Arial" w:eastAsia="Arial" w:hAnsi="Arial"/>
          <w:sz w:val="22"/>
          <w:szCs w:val="22"/>
        </w:rPr>
        <w:t xml:space="preserve">Thai-Nghe, N., Drumond, L., Krohn-Grimberghe, A., &amp; Schmidt-Thieme, L. (2010). Recommender system for predicting student performance. Procedia Computer Science, 1(2), 2811-2819.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EduPro Student Segmentation Research Paper  |  Jones Wesley  |  Unified Mentor Internship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2026-05-25T03:57:02.906Z</dcterms:created>
  <dcterms:modified xsi:type="dcterms:W3CDTF">2026-05-25T03:57:02.906Z</dcterms:modified>
</cp:coreProperties>
</file>

<file path=docProps/custom.xml><?xml version="1.0" encoding="utf-8"?>
<Properties xmlns="http://schemas.openxmlformats.org/officeDocument/2006/custom-properties" xmlns:vt="http://schemas.openxmlformats.org/officeDocument/2006/docPropsVTypes"/>
</file>