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Charity &amp; NFP Fundraising DNA Audit</w:t>
      </w:r>
    </w:p>
    <w:p>
      <w:pPr>
        <w:spacing w:after="300"/>
      </w:pPr>
      <w:r>
        <w:rPr>
          <w:i/>
          <w:iCs/>
          <w:color w:val="666666"/>
        </w:rPr>
        <w:t xml:space="preserve">Handoff brief, drafted overnight while Steve was offline</w:t>
      </w:r>
    </w:p>
    <w:p>
      <w:pPr>
        <w:pStyle w:val="Heading1"/>
        <w:spacing w:after="120" w:before="300"/>
      </w:pPr>
      <w:r>
        <w:t xml:space="preserve">Straight answer first</w:t>
      </w:r>
    </w:p>
    <w:p>
      <w:pPr>
        <w:spacing w:after="140"/>
      </w:pPr>
      <w:r>
        <w:t xml:space="preserve">This is a new industry-flavoured question bank for the existing DNA Audit engine, built for phone fundraisers who call potential donors on behalf of charities. It reuses the same four-trait scoring engine, band thresholds and archetype taxonomy that already run Media Sales. Nothing new to build in the scoring layer, just a new bank of 31 scored questions plus the 3 EQ Identity questions, written in Australian charity donor-call scenarios. The finished question bank is attached as charity_fundraising_v1_full.json, in the exact schema of the live media_sales_v1_full.json.</w:t>
      </w:r>
    </w:p>
    <w:p>
      <w:pPr>
        <w:pStyle w:val="Heading1"/>
        <w:spacing w:after="120" w:before="300"/>
      </w:pPr>
      <w:r>
        <w:t xml:space="preserve">What I actually reviewed</w:t>
      </w:r>
    </w:p>
    <w:p>
      <w:pPr>
        <w:spacing w:after="140"/>
      </w:pPr>
      <w:r>
        <w:t xml:space="preserve">You asked me to review the Hunter audit and the Media Sales audit. I did that against the live GitHub repo (jonesy230777-max/decipher), not against old session summaries, since those had already drifted from what is actually shipped. Two things worth flagging plainly:</w:t>
      </w:r>
    </w:p>
    <w:p>
      <w:pPr>
        <w:pStyle w:val="ListParagraph"/>
        <w:numPr>
          <w:ilvl w:val="0"/>
          <w:numId w:val="2"/>
        </w:numPr>
        <w:spacing w:after="80"/>
      </w:pPr>
      <w:r>
        <w:t xml:space="preserve">Media Sales DNA Audit is live and mature. reference_docs/media_sales_v1_full.json holds 31 scored questions (6 Cognitive Empathy, 6 EQ, 6 Pressure Composure, 6 Narrative Persuasion, 7 EQ bonus) plus 3 EQ Identity questions (EQ1 to EQ3, mapping to regulator, edge_builder, observer, namer). I used this as the template.</w:t>
      </w:r>
    </w:p>
    <w:p>
      <w:pPr>
        <w:pStyle w:val="ListParagraph"/>
        <w:numPr>
          <w:ilvl w:val="0"/>
          <w:numId w:val="2"/>
        </w:numPr>
        <w:spacing w:after="80"/>
      </w:pPr>
      <w:r>
        <w:t xml:space="preserve">The Hunter Audit does not exist in the live repo. Past sessions describe a 6-stage, 38-question hunter_scoring.py build, first lost, then rebuilt and zipped up for you to drop into your real clone. There is no hunter_scoring.py, no generic_hunter file, and no migrations folder anywhere in the current main branch. What is actually live instead is a separate general_sales_v1 to generic_sales_v2 line, an industry-neutral version of the same Media engine. I am not assuming which of these you still want. If the 6-stage Hunter design is still wanted, it needs rebuilding from scratch, or generic_sales_v2 can be treated as its replacement. Your call, flagging it rather than guessing.</w:t>
      </w:r>
    </w:p>
    <w:p>
      <w:pPr>
        <w:pStyle w:val="Heading1"/>
        <w:spacing w:after="120" w:before="300"/>
      </w:pPr>
      <w:r>
        <w:t xml:space="preserve">Chris Voss, baked in properly</w:t>
      </w:r>
    </w:p>
    <w:p>
      <w:pPr>
        <w:spacing w:after="140"/>
      </w:pPr>
      <w:r>
        <w:t xml:space="preserve">Good news here: the live Media Sales scoring already runs on Chris Voss mechanics, it just was not labelled that way. Across almost every question, the top-scoring option is a label (naming the emotion or pressure out loud) or a mirror plus tactical silence, and the weakest options are generic reassurance or pushing the pitch through. I carried that straight into the new bank and made your specific instruction literal: Q1 is the opening moment of the call, and the single highest-scoring answer is asking a version of 'is now a bad time?' rather than 'have you got a minute?' The negative framing is what Voss's research says lowers a stranger's guard fastest, and it now sits as the first thing this audit measures.</w:t>
      </w:r>
    </w:p>
    <w:p>
      <w:pPr>
        <w:pStyle w:val="Heading1"/>
        <w:spacing w:after="120" w:before="300"/>
      </w:pPr>
      <w:r>
        <w:t xml:space="preserve">Where the scenarios came from</w:t>
      </w:r>
    </w:p>
    <w:p>
      <w:pPr>
        <w:spacing w:after="140"/>
      </w:pPr>
      <w:r>
        <w:t xml:space="preserve">You asked for copies of the charities' media kits, to ground the questions in how they actually pitch people. Being straight with you on this: charities publish brand and impact materials publicly (annual reports, donor-facing stats, mission messaging), but the actual phone scripts used by telemarketing teams calling on their behalf are not published anywhere I could find, for any of the twenty organisations from the earlier list. That is normal, agencies treat live call scripts as commercially sensitive.</w:t>
      </w:r>
    </w:p>
    <w:p>
      <w:pPr>
        <w:spacing w:after="140"/>
      </w:pPr>
      <w:r>
        <w:t xml:space="preserve">What I built the scenarios from instead:</w:t>
      </w:r>
    </w:p>
    <w:p>
      <w:pPr>
        <w:pStyle w:val="ListParagraph"/>
        <w:numPr>
          <w:ilvl w:val="0"/>
          <w:numId w:val="2"/>
        </w:numPr>
        <w:spacing w:after="80"/>
      </w:pPr>
      <w:r>
        <w:t xml:space="preserve">Public fundraising-sector guidance on call structure and objection handling (lead with a specific impact line before the ask, validate or mirror an objection rather than argue with it, move a flat no toward 'let me think about it' rather than trying to close it on the spot).</w:t>
      </w:r>
    </w:p>
    <w:p>
      <w:pPr>
        <w:pStyle w:val="ListParagraph"/>
        <w:numPr>
          <w:ilvl w:val="0"/>
          <w:numId w:val="2"/>
        </w:numPr>
        <w:spacing w:after="80"/>
      </w:pPr>
      <w:r>
        <w:t xml:space="preserve">The realistic objection set a charity donor call actually hits: already giving elsewhere, cost pressure, scepticism about legitimacy, wanting proof the money arrives, and the Do Not Call Register.</w:t>
      </w:r>
    </w:p>
    <w:p>
      <w:pPr>
        <w:pStyle w:val="ListParagraph"/>
        <w:numPr>
          <w:ilvl w:val="0"/>
          <w:numId w:val="2"/>
        </w:numPr>
        <w:spacing w:after="80"/>
      </w:pPr>
      <w:r>
        <w:t xml:space="preserve">The Media Sales bank's own calibration logic (which answer is weak versus elite), applied to these new scenarios rather than invented fresh.</w:t>
      </w:r>
    </w:p>
    <w:p>
      <w:pPr>
        <w:spacing w:after="140"/>
      </w:pPr>
      <w:r>
        <w:t xml:space="preserve">If you or a client can get hold of one real call recording or an agency's actual script, even one, that would sharpen these scenarios a level further than public research can. Worth doing before this goes live, not a blocker to reviewing it now.</w:t>
      </w:r>
    </w:p>
    <w:p>
      <w:pPr>
        <w:pStyle w:val="Heading1"/>
        <w:spacing w:after="120" w:before="300"/>
      </w:pPr>
      <w:r>
        <w:t xml:space="preserve">The 34 questions, at a glance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50"/>
      </w:tblGrid>
      <w:tr>
        <w:trPr>
          <w:tblHeader/>
        </w:trPr>
        <w:tc>
          <w:tcPr>
            <w:tcW w:type="dxa" w:w="3400"/>
            <w:shd w:fill="1F2937" w:val="clear"/>
          </w:tcPr>
          <w:p>
            <w:r>
              <w:rPr>
                <w:b/>
                <w:bCs/>
                <w:color w:val="FFFFFF"/>
              </w:rPr>
              <w:t xml:space="preserve">Trait</w:t>
            </w:r>
          </w:p>
        </w:tc>
        <w:tc>
          <w:tcPr>
            <w:tcW w:type="dxa" w:w="1600"/>
            <w:shd w:fill="1F2937" w:val="clear"/>
          </w:tcPr>
          <w:p>
            <w:r>
              <w:rPr>
                <w:b/>
                <w:bCs/>
                <w:color w:val="FFFFFF"/>
              </w:rPr>
              <w:t xml:space="preserve">Count</w:t>
            </w:r>
          </w:p>
        </w:tc>
        <w:tc>
          <w:tcPr>
            <w:tcW w:type="dxa" w:w="4350"/>
            <w:shd w:fill="1F2937" w:val="clear"/>
          </w:tcPr>
          <w:p>
            <w:r>
              <w:rPr>
                <w:b/>
                <w:bCs/>
                <w:color w:val="FFFFFF"/>
              </w:rPr>
              <w:t xml:space="preserve">What it probes in a donor call</w:t>
            </w:r>
          </w:p>
        </w:tc>
      </w:tr>
      <w:tr>
        <w:tc>
          <w:tcPr>
            <w:tcW w:type="dxa" w:w="3400"/>
          </w:tcPr>
          <w:p>
            <w:pPr>
              <w:spacing w:after="140"/>
            </w:pPr>
            <w:r>
              <w:t xml:space="preserve">Cognitive Empathy</w:t>
            </w:r>
          </w:p>
        </w:tc>
        <w:tc>
          <w:tcPr>
            <w:tcW w:type="dxa" w:w="1600"/>
          </w:tcPr>
          <w:p>
            <w:pPr>
              <w:spacing w:after="140"/>
            </w:pPr>
            <w:r>
              <w:t xml:space="preserve">6</w:t>
            </w:r>
          </w:p>
        </w:tc>
        <w:tc>
          <w:tcPr>
            <w:tcW w:type="dxa" w:w="4350"/>
          </w:tcPr>
          <w:p>
            <w:pPr>
              <w:spacing w:after="140"/>
            </w:pPr>
            <w:r>
              <w:t xml:space="preserve">Reading what the donor is not saying: a guarded tone, a personal story slipped in, silence after the ask amount</w:t>
            </w:r>
          </w:p>
        </w:tc>
      </w:tr>
      <w:tr>
        <w:tc>
          <w:tcPr>
            <w:tcW w:type="dxa" w:w="3400"/>
          </w:tcPr>
          <w:p>
            <w:pPr>
              <w:spacing w:after="140"/>
            </w:pPr>
            <w:r>
              <w:t xml:space="preserve">EQ</w:t>
            </w:r>
          </w:p>
        </w:tc>
        <w:tc>
          <w:tcPr>
            <w:tcW w:type="dxa" w:w="1600"/>
          </w:tcPr>
          <w:p>
            <w:pPr>
              <w:spacing w:after="140"/>
            </w:pPr>
            <w:r>
              <w:t xml:space="preserve">6</w:t>
            </w:r>
          </w:p>
        </w:tc>
        <w:tc>
          <w:tcPr>
            <w:tcW w:type="dxa" w:w="4350"/>
          </w:tcPr>
          <w:p>
            <w:pPr>
              <w:spacing w:after="140"/>
            </w:pPr>
            <w:r>
              <w:t xml:space="preserve">Tactical empathy in the moment: venting, sharp questions, an emotional donor, an elderly donor drifting off-topic</w:t>
            </w:r>
          </w:p>
        </w:tc>
      </w:tr>
      <w:tr>
        <w:tc>
          <w:tcPr>
            <w:tcW w:type="dxa" w:w="3400"/>
          </w:tcPr>
          <w:p>
            <w:pPr>
              <w:spacing w:after="140"/>
            </w:pPr>
            <w:r>
              <w:t xml:space="preserve">Pressure Composure</w:t>
            </w:r>
          </w:p>
        </w:tc>
        <w:tc>
          <w:tcPr>
            <w:tcW w:type="dxa" w:w="1600"/>
          </w:tcPr>
          <w:p>
            <w:pPr>
              <w:spacing w:after="140"/>
            </w:pPr>
            <w:r>
              <w:t xml:space="preserve">6</w:t>
            </w:r>
          </w:p>
        </w:tc>
        <w:tc>
          <w:tcPr>
            <w:tcW w:type="dxa" w:w="4350"/>
          </w:tcPr>
          <w:p>
            <w:pPr>
              <w:spacing w:after="140"/>
            </w:pPr>
            <w:r>
              <w:t xml:space="preserve">Staying steady under legitimacy challenges, Do Not Call pushback, rejection fatigue, and the awkward pause after the ask</w:t>
            </w:r>
          </w:p>
        </w:tc>
      </w:tr>
      <w:tr>
        <w:tc>
          <w:tcPr>
            <w:tcW w:type="dxa" w:w="3400"/>
          </w:tcPr>
          <w:p>
            <w:pPr>
              <w:spacing w:after="140"/>
            </w:pPr>
            <w:r>
              <w:t xml:space="preserve">Narrative Persuasion</w:t>
            </w:r>
          </w:p>
        </w:tc>
        <w:tc>
          <w:tcPr>
            <w:tcW w:type="dxa" w:w="1600"/>
          </w:tcPr>
          <w:p>
            <w:pPr>
              <w:spacing w:after="140"/>
            </w:pPr>
            <w:r>
              <w:t xml:space="preserve">6</w:t>
            </w:r>
          </w:p>
        </w:tc>
        <w:tc>
          <w:tcPr>
            <w:tcW w:type="dxa" w:w="4350"/>
          </w:tcPr>
          <w:p>
            <w:pPr>
              <w:spacing w:after="140"/>
            </w:pPr>
            <w:r>
              <w:t xml:space="preserve">Leading with impact rather than a stat, explaining the mission in one line, closing a soft maybe</w:t>
            </w:r>
          </w:p>
        </w:tc>
      </w:tr>
      <w:tr>
        <w:tc>
          <w:tcPr>
            <w:tcW w:type="dxa" w:w="3400"/>
          </w:tcPr>
          <w:p>
            <w:pPr>
              <w:spacing w:after="140"/>
            </w:pPr>
            <w:r>
              <w:t xml:space="preserve">EQ bonus</w:t>
            </w:r>
          </w:p>
        </w:tc>
        <w:tc>
          <w:tcPr>
            <w:tcW w:type="dxa" w:w="1600"/>
          </w:tcPr>
          <w:p>
            <w:pPr>
              <w:spacing w:after="140"/>
            </w:pPr>
            <w:r>
              <w:t xml:space="preserve">7</w:t>
            </w:r>
          </w:p>
        </w:tc>
        <w:tc>
          <w:tcPr>
            <w:tcW w:type="dxa" w:w="4350"/>
          </w:tcPr>
          <w:p>
            <w:pPr>
              <w:spacing w:after="140"/>
            </w:pPr>
            <w:r>
              <w:t xml:space="preserve">Reading stalls and silence: a voicemail, a nervous laugh at the amount, tone dropping mid-call</w:t>
            </w:r>
          </w:p>
        </w:tc>
      </w:tr>
      <w:tr>
        <w:tc>
          <w:tcPr>
            <w:tcW w:type="dxa" w:w="3400"/>
          </w:tcPr>
          <w:p>
            <w:pPr>
              <w:spacing w:after="140"/>
            </w:pPr>
            <w:r>
              <w:t xml:space="preserve">EQ Identity</w:t>
            </w:r>
          </w:p>
        </w:tc>
        <w:tc>
          <w:tcPr>
            <w:tcW w:type="dxa" w:w="1600"/>
          </w:tcPr>
          <w:p>
            <w:pPr>
              <w:spacing w:after="140"/>
            </w:pPr>
            <w:r>
              <w:t xml:space="preserve">3 (unscored)</w:t>
            </w:r>
          </w:p>
        </w:tc>
        <w:tc>
          <w:tcPr>
            <w:tcW w:type="dxa" w:w="4350"/>
          </w:tcPr>
          <w:p>
            <w:pPr>
              <w:spacing w:after="140"/>
            </w:pPr>
            <w:r>
              <w:t xml:space="preserve">Same regulator / edge_builder / observer / namer archetype split used by Media Sales, reworded for donor calls</w:t>
            </w:r>
          </w:p>
        </w:tc>
      </w:tr>
    </w:tbl>
    <w:p>
      <w:pPr>
        <w:spacing w:after="200"/>
      </w:pPr>
    </w:p>
    <w:p>
      <w:pPr>
        <w:pStyle w:val="Heading1"/>
        <w:spacing w:after="120" w:before="300"/>
      </w:pPr>
      <w:r>
        <w:t xml:space="preserve">Compliance notes (not scored, worth attaching separately)</w:t>
      </w:r>
    </w:p>
    <w:p>
      <w:pPr>
        <w:spacing w:after="140"/>
      </w:pPr>
      <w:r>
        <w:t xml:space="preserve">These are legal obligations, not a soft-skill spectrum, so I have kept them out of the 1 to 5 scoring rather than force them into it. Worth putting in front of whoever runs this calling team regardless:</w:t>
      </w:r>
    </w:p>
    <w:p>
      <w:pPr>
        <w:pStyle w:val="ListParagraph"/>
        <w:numPr>
          <w:ilvl w:val="0"/>
          <w:numId w:val="2"/>
        </w:numPr>
        <w:spacing w:after="80"/>
      </w:pPr>
      <w:r>
        <w:t xml:space="preserve">Registered charities are exempt from the Do Not Call Register Act itself, but the Telemarketing and Research Calls Industry Standard 2017 still applies in full to charity calls. That covers permitted calling windows, Calling Line Identification that cannot be blocked, and a clear statement of who is calling, on whose behalf, and why.</w:t>
      </w:r>
    </w:p>
    <w:p>
      <w:pPr>
        <w:pStyle w:val="ListParagraph"/>
        <w:numPr>
          <w:ilvl w:val="0"/>
          <w:numId w:val="2"/>
        </w:numPr>
        <w:spacing w:after="80"/>
      </w:pPr>
      <w:r>
        <w:t xml:space="preserve">No calls on Sundays or public holidays, and only within the standard's permitted hours on other days.</w:t>
      </w:r>
    </w:p>
    <w:p>
      <w:pPr>
        <w:pStyle w:val="ListParagraph"/>
        <w:numPr>
          <w:ilvl w:val="0"/>
          <w:numId w:val="2"/>
        </w:numPr>
        <w:spacing w:after="80"/>
      </w:pPr>
      <w:r>
        <w:t xml:space="preserve">A do-not-contact request has to be honoured immediately, not argued with. Q14 in the bank scores that exact moment, and only the option that confirms removal without any pushback scores the top mark.</w:t>
      </w:r>
    </w:p>
    <w:p>
      <w:pPr>
        <w:pStyle w:val="ListParagraph"/>
        <w:numPr>
          <w:ilvl w:val="0"/>
          <w:numId w:val="2"/>
        </w:numPr>
        <w:spacing w:after="80"/>
      </w:pPr>
      <w:r>
        <w:t xml:space="preserve">ACMA can enforce breaches of the standard with penalties up to $250,000, so this is not a soft nice-to-have.</w:t>
      </w:r>
    </w:p>
    <w:p>
      <w:pPr>
        <w:pStyle w:val="ListParagraph"/>
        <w:numPr>
          <w:ilvl w:val="0"/>
          <w:numId w:val="2"/>
        </w:numPr>
        <w:spacing w:after="80"/>
      </w:pPr>
      <w:r>
        <w:t xml:space="preserve">Handling of any payment or personal details collected mid-call falls under the Privacy Act 1988 and the Australian Privacy Principles.</w:t>
      </w:r>
    </w:p>
    <w:p>
      <w:pPr>
        <w:pStyle w:val="Heading1"/>
        <w:spacing w:after="120" w:before="300"/>
      </w:pPr>
      <w:r>
        <w:t xml:space="preserve">Open decisions, yours to make</w:t>
      </w:r>
    </w:p>
    <w:p>
      <w:pPr>
        <w:pStyle w:val="ListParagraph"/>
        <w:numPr>
          <w:ilvl w:val="0"/>
          <w:numId w:val="2"/>
        </w:numPr>
        <w:spacing w:after="80"/>
      </w:pPr>
      <w:r>
        <w:t xml:space="preserve">Naming: I used charity_fundraising_v1 as a placeholder industry code, matching the lower_snake_case style of media_sales_v1 and generic_sales_v2. Happy to rename.</w:t>
      </w:r>
    </w:p>
    <w:p>
      <w:pPr>
        <w:pStyle w:val="ListParagraph"/>
        <w:numPr>
          <w:ilvl w:val="0"/>
          <w:numId w:val="2"/>
        </w:numPr>
        <w:spacing w:after="80"/>
      </w:pPr>
      <w:r>
        <w:t xml:space="preserve">Fit into the architecture: the super prompt spec already has an industries concept (media, pharma, automotive, tech) sitting on top of the same scoring engine, which is exactly this shape of extension. The natural move is a fifth industry-flavoured bank rather than a new standalone audit type, but that is a product call, not mine to make.</w:t>
      </w:r>
    </w:p>
    <w:p>
      <w:pPr>
        <w:pStyle w:val="ListParagraph"/>
        <w:numPr>
          <w:ilvl w:val="0"/>
          <w:numId w:val="2"/>
        </w:numPr>
        <w:spacing w:after="80"/>
      </w:pPr>
      <w:r>
        <w:t xml:space="preserve">The Hunter Audit question above, is it still wanted as a separate build, or has generic_sales_v2 already replaced that plan.</w:t>
      </w:r>
    </w:p>
    <w:p>
      <w:pPr>
        <w:pStyle w:val="ListParagraph"/>
        <w:numPr>
          <w:ilvl w:val="0"/>
          <w:numId w:val="2"/>
        </w:numPr>
        <w:spacing w:after="80"/>
      </w:pPr>
      <w:r>
        <w:t xml:space="preserve">Whether to fold in a real call script or recording once you have one, to replace the publicly-sourced objection patterns with verbatim ones.</w:t>
      </w:r>
    </w:p>
    <w:p>
      <w:pPr>
        <w:pStyle w:val="Heading1"/>
        <w:spacing w:after="120" w:before="300"/>
      </w:pPr>
      <w:r>
        <w:t xml:space="preserve">Getting this live</w:t>
      </w:r>
    </w:p>
    <w:p>
      <w:pPr>
        <w:spacing w:after="140"/>
      </w:pPr>
      <w:r>
        <w:t xml:space="preserve">Same constraint as last time: this session has no git credentials and no access to your Postgres instance, so I cannot push or seed anything myself. Once you have confirmed the decisions above, the mechanical steps are:</w:t>
      </w:r>
    </w:p>
    <w:p>
      <w:pPr>
        <w:pStyle w:val="ListParagraph"/>
        <w:numPr>
          <w:ilvl w:val="0"/>
          <w:numId w:val="2"/>
        </w:numPr>
        <w:spacing w:after="80"/>
      </w:pPr>
      <w:r>
        <w:t xml:space="preserve">Drop charity_fundraising_v1_full.json into reference_docs/ in your real clone, alongside the existing media_sales_v1_* files.</w:t>
      </w:r>
    </w:p>
    <w:p>
      <w:pPr>
        <w:pStyle w:val="ListParagraph"/>
        <w:numPr>
          <w:ilvl w:val="0"/>
          <w:numId w:val="2"/>
        </w:numPr>
        <w:spacing w:after="80"/>
      </w:pPr>
      <w:r>
        <w:t xml:space="preserve">Add the industry (or audit_versions row, depending on the decision above) and point a seed script at this file, following the same pattern generic_sales_v2's seed script already uses.</w:t>
      </w:r>
    </w:p>
    <w:p>
      <w:pPr>
        <w:pStyle w:val="ListParagraph"/>
        <w:numPr>
          <w:ilvl w:val="0"/>
          <w:numId w:val="2"/>
        </w:numPr>
        <w:spacing w:after="80"/>
      </w:pPr>
      <w:r>
        <w:t xml:space="preserve">No scoring engine changes needed. band_thresholds_json, the archetype classifier and the report generator are all already industry-agnostic per the architecture doc.</w:t>
      </w:r>
    </w:p>
    <w:p>
      <w:pPr>
        <w:pStyle w:val="ListParagraph"/>
        <w:numPr>
          <w:ilvl w:val="0"/>
          <w:numId w:val="2"/>
        </w:numPr>
        <w:spacing w:after="80"/>
      </w:pPr>
      <w:r>
        <w:t xml:space="preserve">Take the audit once yourself end to end before it goes anywhere near a real fundraising team.</w:t>
      </w:r>
    </w:p>
    <w:p>
      <w:pPr>
        <w:pBdr>
          <w:bottom w:val="single" w:color="CCCCCC" w:sz="6"/>
        </w:pBdr>
        <w:spacing w:after="200"/>
      </w:pPr>
    </w:p>
    <w:p>
      <w:r>
        <w:rPr>
          <w:i/>
          <w:iCs/>
          <w:color w:val="666666"/>
          <w:sz w:val="20"/>
          <w:szCs w:val="20"/>
        </w:rPr>
        <w:t xml:space="preserve">Prepared overnight from the live decipher repo (main branch) plus public fundraising and telemarketing-compliance research. Nothing in this brief was pushed to GitHub or your database, everything is in this file and the attached JSON.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2026-08-03T11:25:12.369Z</dcterms:created>
  <dcterms:modified xsi:type="dcterms:W3CDTF">2026-08-03T11:25:12.369Z</dcterms:modified>
</cp:coreProperties>
</file>

<file path=docProps/custom.xml><?xml version="1.0" encoding="utf-8"?>
<Properties xmlns="http://schemas.openxmlformats.org/officeDocument/2006/custom-properties" xmlns:vt="http://schemas.openxmlformats.org/officeDocument/2006/docPropsVTypes"/>
</file>