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Charity &amp; NFP Fundraising DNA Audit</w:t>
      </w:r>
    </w:p>
    <w:p>
      <w:pPr>
        <w:spacing w:after="300"/>
      </w:pPr>
      <w:r>
        <w:rPr>
          <w:i/>
          <w:iCs/>
          <w:color w:val="666666"/>
        </w:rPr>
        <w:t xml:space="preserve">Handoff brief, drafted overnight while Steve was offline</w:t>
      </w:r>
    </w:p>
    <w:p>
      <w:pPr>
        <w:pStyle w:val="Heading1"/>
        <w:spacing w:after="120" w:before="300"/>
      </w:pPr>
      <w:r>
        <w:t xml:space="preserve">Straight answer first</w:t>
      </w:r>
    </w:p>
    <w:p>
      <w:pPr>
        <w:spacing w:after="140"/>
      </w:pPr>
      <w:r>
        <w:t xml:space="preserve">This is a new industry-flavoured question bank for the existing DNA Audit engine, built for phone fundraisers who call potential donors on behalf of charities. It reuses the same four-trait scoring engine, band thresholds and archetype taxonomy that already run Media Sales. Nothing new to build in the scoring layer, just a new bank of 31 scored questions plus the 3 EQ Identity questions, written in Australian charity donor-call scenarios. The finished question bank is attached as charity_fundraising_v1_full.json, in the exact schema of the live media_sales_v1_full.json.</w:t>
      </w:r>
    </w:p>
    <w:p>
      <w:pPr>
        <w:pStyle w:val="Heading1"/>
        <w:spacing w:after="120" w:before="300"/>
      </w:pPr>
      <w:r>
        <w:t xml:space="preserve">What I actually reviewed</w:t>
      </w:r>
    </w:p>
    <w:p>
      <w:pPr>
        <w:spacing w:after="140"/>
      </w:pPr>
      <w:r>
        <w:t xml:space="preserve">You asked me to review the Hunter audit and the Media Sales audit. I did that against the live GitHub repo (jonesy230777-max/decipher), not against old session summaries, since those had already drifted from what is actually shipped. Two things worth flagging plainly:</w:t>
      </w:r>
    </w:p>
    <w:p>
      <w:pPr>
        <w:pStyle w:val="ListParagraph"/>
        <w:numPr>
          <w:ilvl w:val="0"/>
          <w:numId w:val="2"/>
        </w:numPr>
        <w:spacing w:after="80"/>
      </w:pPr>
      <w:r>
        <w:t xml:space="preserve">Media Sales DNA Audit is live and mature. reference_docs/media_sales_v1_full.json holds 31 scored questions (6 Cognitive Empathy, 6 EQ, 6 Pressure Composure, 6 Narrative Persuasion, 7 EQ bonus) plus 3 EQ Identity questions (EQ1 to EQ3, mapping to regulator, edge_builder, observer, namer). I used this as the template.</w:t>
      </w:r>
    </w:p>
    <w:p>
      <w:pPr>
        <w:pStyle w:val="ListParagraph"/>
        <w:numPr>
          <w:ilvl w:val="0"/>
          <w:numId w:val="2"/>
        </w:numPr>
        <w:spacing w:after="80"/>
      </w:pPr>
      <w:r>
        <w:t xml:space="preserve">The Hunter Audit question is resolved, update from later the same evening: the old 6-stage hunter_scoring.py build genuinely never made it into the repo, but you have since relabelled generic_sales_v2 as 'The Hunter' directly in the respondent-facing UI (commit 45f3cde, deployed 7:08pm). I checked it live: respondents 68 and 69 in your Audits table are your own two test runs against generic_sales_v2, one all-worst-answers scoring 3/10/14/11 into The Raw Material, one all-best-answers scoring 100 flat into The Elite Operator. Both scored and classified correctly, so that audit version is properly seeded and working end to end in production, not just in the codebase.</w:t>
      </w:r>
    </w:p>
    <w:p>
      <w:pPr>
        <w:pStyle w:val="Heading1"/>
        <w:spacing w:after="120" w:before="300"/>
      </w:pPr>
      <w:r>
        <w:t xml:space="preserve">Chris Voss, baked in properly</w:t>
      </w:r>
    </w:p>
    <w:p>
      <w:pPr>
        <w:spacing w:after="140"/>
      </w:pPr>
      <w:r>
        <w:t xml:space="preserve">Good news here: the live Media Sales scoring already runs on Chris Voss mechanics, it just was not labelled that way. Across almost every question, the top-scoring option is a label (naming the emotion or pressure out loud) or a mirror plus tactical silence, and the weakest options are generic reassurance or pushing the pitch through. I carried that straight into the new bank and made your specific instruction literal: Q1 is the opening moment of the call, and the single highest-scoring answer is asking a version of 'is now a bad time?' rather than 'have you got a minute?' The negative framing is what Voss's research says lowers a stranger's guard fastest, and it now sits as the first thing this audit measures.</w:t>
      </w:r>
    </w:p>
    <w:p>
      <w:pPr>
        <w:pStyle w:val="Heading1"/>
        <w:spacing w:after="120" w:before="300"/>
      </w:pPr>
      <w:r>
        <w:t xml:space="preserve">Where the scenarios came from</w:t>
      </w:r>
    </w:p>
    <w:p>
      <w:pPr>
        <w:spacing w:after="140"/>
      </w:pPr>
      <w:r>
        <w:t xml:space="preserve">You asked for copies of the charities' media kits, to ground the questions in how they actually pitch people. Being straight with you on this: charities publish brand and impact materials publicly (annual reports, donor-facing stats, mission messaging), but the actual phone scripts used by telemarketing teams calling on their behalf are not published anywhere I could find, for any of the twenty organisations from the earlier list. That is normal, agencies treat live call scripts as commercially sensitive.</w:t>
      </w:r>
    </w:p>
    <w:p>
      <w:pPr>
        <w:spacing w:after="140"/>
      </w:pPr>
      <w:r>
        <w:t xml:space="preserve">What I built the scenarios from instead:</w:t>
      </w:r>
    </w:p>
    <w:p>
      <w:pPr>
        <w:pStyle w:val="ListParagraph"/>
        <w:numPr>
          <w:ilvl w:val="0"/>
          <w:numId w:val="2"/>
        </w:numPr>
        <w:spacing w:after="80"/>
      </w:pPr>
      <w:r>
        <w:t xml:space="preserve">Public fundraising-sector guidance on call structure and objection handling (lead with a specific impact line before the ask, validate or mirror an objection rather than argue with it, move a flat no toward 'let me think about it' rather than trying to close it on the spot).</w:t>
      </w:r>
    </w:p>
    <w:p>
      <w:pPr>
        <w:pStyle w:val="ListParagraph"/>
        <w:numPr>
          <w:ilvl w:val="0"/>
          <w:numId w:val="2"/>
        </w:numPr>
        <w:spacing w:after="80"/>
      </w:pPr>
      <w:r>
        <w:t xml:space="preserve">The realistic objection set a charity donor call actually hits: already giving elsewhere, cost pressure, scepticism about legitimacy, wanting proof the money arrives, and the Do Not Call Register.</w:t>
      </w:r>
    </w:p>
    <w:p>
      <w:pPr>
        <w:pStyle w:val="ListParagraph"/>
        <w:numPr>
          <w:ilvl w:val="0"/>
          <w:numId w:val="2"/>
        </w:numPr>
        <w:spacing w:after="80"/>
      </w:pPr>
      <w:r>
        <w:t xml:space="preserve">The Media Sales bank's own calibration logic (which answer is weak versus elite), applied to these new scenarios rather than invented fresh.</w:t>
      </w:r>
    </w:p>
    <w:p>
      <w:pPr>
        <w:spacing w:after="140"/>
      </w:pPr>
      <w:r>
        <w:t xml:space="preserve">If you or a client can get hold of one real call recording or an agency's actual script, even one, that would sharpen these scenarios a level further than public research can. Worth doing before this goes live, not a blocker to reviewing it now.</w:t>
      </w:r>
    </w:p>
    <w:p>
      <w:pPr>
        <w:pStyle w:val="Heading1"/>
        <w:spacing w:after="120" w:before="300"/>
      </w:pPr>
      <w:r>
        <w:t xml:space="preserve">The 34 questions, at a glance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00"/>
        <w:gridCol w:w="1600"/>
        <w:gridCol w:w="4350"/>
      </w:tblGrid>
      <w:tr>
        <w:trPr>
          <w:tblHeader/>
        </w:trPr>
        <w:tc>
          <w:tcPr>
            <w:tcW w:type="dxa" w:w="3400"/>
            <w:shd w:fill="1F2937" w:val="clear"/>
          </w:tcPr>
          <w:p>
            <w:r>
              <w:rPr>
                <w:b/>
                <w:bCs/>
                <w:color w:val="FFFFFF"/>
              </w:rPr>
              <w:t xml:space="preserve">Trait</w:t>
            </w:r>
          </w:p>
        </w:tc>
        <w:tc>
          <w:tcPr>
            <w:tcW w:type="dxa" w:w="1600"/>
            <w:shd w:fill="1F2937" w:val="clear"/>
          </w:tcPr>
          <w:p>
            <w:r>
              <w:rPr>
                <w:b/>
                <w:bCs/>
                <w:color w:val="FFFFFF"/>
              </w:rPr>
              <w:t xml:space="preserve">Count</w:t>
            </w:r>
          </w:p>
        </w:tc>
        <w:tc>
          <w:tcPr>
            <w:tcW w:type="dxa" w:w="4350"/>
            <w:shd w:fill="1F2937" w:val="clear"/>
          </w:tcPr>
          <w:p>
            <w:r>
              <w:rPr>
                <w:b/>
                <w:bCs/>
                <w:color w:val="FFFFFF"/>
              </w:rPr>
              <w:t xml:space="preserve">What it probes in a donor call</w:t>
            </w:r>
          </w:p>
        </w:tc>
      </w:tr>
      <w:tr>
        <w:tc>
          <w:tcPr>
            <w:tcW w:type="dxa" w:w="3400"/>
          </w:tcPr>
          <w:p>
            <w:pPr>
              <w:spacing w:after="140"/>
            </w:pPr>
            <w:r>
              <w:t xml:space="preserve">Cognitive Empathy</w:t>
            </w:r>
          </w:p>
        </w:tc>
        <w:tc>
          <w:tcPr>
            <w:tcW w:type="dxa" w:w="1600"/>
          </w:tcPr>
          <w:p>
            <w:pPr>
              <w:spacing w:after="140"/>
            </w:pPr>
            <w:r>
              <w:t xml:space="preserve">6</w:t>
            </w:r>
          </w:p>
        </w:tc>
        <w:tc>
          <w:tcPr>
            <w:tcW w:type="dxa" w:w="4350"/>
          </w:tcPr>
          <w:p>
            <w:pPr>
              <w:spacing w:after="140"/>
            </w:pPr>
            <w:r>
              <w:t xml:space="preserve">Reading what the donor is not saying: a guarded tone, a personal story slipped in, silence after the ask amount</w:t>
            </w:r>
          </w:p>
        </w:tc>
      </w:tr>
      <w:tr>
        <w:tc>
          <w:tcPr>
            <w:tcW w:type="dxa" w:w="3400"/>
          </w:tcPr>
          <w:p>
            <w:pPr>
              <w:spacing w:after="140"/>
            </w:pPr>
            <w:r>
              <w:t xml:space="preserve">EQ</w:t>
            </w:r>
          </w:p>
        </w:tc>
        <w:tc>
          <w:tcPr>
            <w:tcW w:type="dxa" w:w="1600"/>
          </w:tcPr>
          <w:p>
            <w:pPr>
              <w:spacing w:after="140"/>
            </w:pPr>
            <w:r>
              <w:t xml:space="preserve">6</w:t>
            </w:r>
          </w:p>
        </w:tc>
        <w:tc>
          <w:tcPr>
            <w:tcW w:type="dxa" w:w="4350"/>
          </w:tcPr>
          <w:p>
            <w:pPr>
              <w:spacing w:after="140"/>
            </w:pPr>
            <w:r>
              <w:t xml:space="preserve">Tactical empathy in the moment: venting, sharp questions, an emotional donor, an elderly donor drifting off-topic</w:t>
            </w:r>
          </w:p>
        </w:tc>
      </w:tr>
      <w:tr>
        <w:tc>
          <w:tcPr>
            <w:tcW w:type="dxa" w:w="3400"/>
          </w:tcPr>
          <w:p>
            <w:pPr>
              <w:spacing w:after="140"/>
            </w:pPr>
            <w:r>
              <w:t xml:space="preserve">Pressure Composure</w:t>
            </w:r>
          </w:p>
        </w:tc>
        <w:tc>
          <w:tcPr>
            <w:tcW w:type="dxa" w:w="1600"/>
          </w:tcPr>
          <w:p>
            <w:pPr>
              <w:spacing w:after="140"/>
            </w:pPr>
            <w:r>
              <w:t xml:space="preserve">6</w:t>
            </w:r>
          </w:p>
        </w:tc>
        <w:tc>
          <w:tcPr>
            <w:tcW w:type="dxa" w:w="4350"/>
          </w:tcPr>
          <w:p>
            <w:pPr>
              <w:spacing w:after="140"/>
            </w:pPr>
            <w:r>
              <w:t xml:space="preserve">Staying steady under legitimacy challenges, Do Not Call pushback, rejection fatigue, and the awkward pause after the ask</w:t>
            </w:r>
          </w:p>
        </w:tc>
      </w:tr>
      <w:tr>
        <w:tc>
          <w:tcPr>
            <w:tcW w:type="dxa" w:w="3400"/>
          </w:tcPr>
          <w:p>
            <w:pPr>
              <w:spacing w:after="140"/>
            </w:pPr>
            <w:r>
              <w:t xml:space="preserve">Narrative Persuasion</w:t>
            </w:r>
          </w:p>
        </w:tc>
        <w:tc>
          <w:tcPr>
            <w:tcW w:type="dxa" w:w="1600"/>
          </w:tcPr>
          <w:p>
            <w:pPr>
              <w:spacing w:after="140"/>
            </w:pPr>
            <w:r>
              <w:t xml:space="preserve">6</w:t>
            </w:r>
          </w:p>
        </w:tc>
        <w:tc>
          <w:tcPr>
            <w:tcW w:type="dxa" w:w="4350"/>
          </w:tcPr>
          <w:p>
            <w:pPr>
              <w:spacing w:after="140"/>
            </w:pPr>
            <w:r>
              <w:t xml:space="preserve">Leading with impact rather than a stat, explaining the mission in one line, closing a soft maybe</w:t>
            </w:r>
          </w:p>
        </w:tc>
      </w:tr>
      <w:tr>
        <w:tc>
          <w:tcPr>
            <w:tcW w:type="dxa" w:w="3400"/>
          </w:tcPr>
          <w:p>
            <w:pPr>
              <w:spacing w:after="140"/>
            </w:pPr>
            <w:r>
              <w:t xml:space="preserve">EQ bonus</w:t>
            </w:r>
          </w:p>
        </w:tc>
        <w:tc>
          <w:tcPr>
            <w:tcW w:type="dxa" w:w="1600"/>
          </w:tcPr>
          <w:p>
            <w:pPr>
              <w:spacing w:after="140"/>
            </w:pPr>
            <w:r>
              <w:t xml:space="preserve">7</w:t>
            </w:r>
          </w:p>
        </w:tc>
        <w:tc>
          <w:tcPr>
            <w:tcW w:type="dxa" w:w="4350"/>
          </w:tcPr>
          <w:p>
            <w:pPr>
              <w:spacing w:after="140"/>
            </w:pPr>
            <w:r>
              <w:t xml:space="preserve">Reading stalls and silence: a voicemail, a nervous laugh at the amount, tone dropping mid-call</w:t>
            </w:r>
          </w:p>
        </w:tc>
      </w:tr>
      <w:tr>
        <w:tc>
          <w:tcPr>
            <w:tcW w:type="dxa" w:w="3400"/>
          </w:tcPr>
          <w:p>
            <w:pPr>
              <w:spacing w:after="140"/>
            </w:pPr>
            <w:r>
              <w:t xml:space="preserve">EQ Identity</w:t>
            </w:r>
          </w:p>
        </w:tc>
        <w:tc>
          <w:tcPr>
            <w:tcW w:type="dxa" w:w="1600"/>
          </w:tcPr>
          <w:p>
            <w:pPr>
              <w:spacing w:after="140"/>
            </w:pPr>
            <w:r>
              <w:t xml:space="preserve">3 (unscored)</w:t>
            </w:r>
          </w:p>
        </w:tc>
        <w:tc>
          <w:tcPr>
            <w:tcW w:type="dxa" w:w="4350"/>
          </w:tcPr>
          <w:p>
            <w:pPr>
              <w:spacing w:after="140"/>
            </w:pPr>
            <w:r>
              <w:t xml:space="preserve">Same regulator / edge_builder / observer / namer archetype split used by Media Sales, reworded for donor calls</w:t>
            </w:r>
          </w:p>
        </w:tc>
      </w:tr>
    </w:tbl>
    <w:p>
      <w:pPr>
        <w:spacing w:after="200"/>
      </w:pPr>
    </w:p>
    <w:p>
      <w:pPr>
        <w:pStyle w:val="Heading1"/>
        <w:spacing w:after="120" w:before="300"/>
      </w:pPr>
      <w:r>
        <w:t xml:space="preserve">Compliance notes (not scored, worth attaching separately)</w:t>
      </w:r>
    </w:p>
    <w:p>
      <w:pPr>
        <w:spacing w:after="140"/>
      </w:pPr>
      <w:r>
        <w:t xml:space="preserve">These are legal obligations, not a soft-skill spectrum, so I have kept them out of the 1 to 5 scoring rather than force them into it. Worth putting in front of whoever runs this calling team regardless:</w:t>
      </w:r>
    </w:p>
    <w:p>
      <w:pPr>
        <w:pStyle w:val="ListParagraph"/>
        <w:numPr>
          <w:ilvl w:val="0"/>
          <w:numId w:val="2"/>
        </w:numPr>
        <w:spacing w:after="80"/>
      </w:pPr>
      <w:r>
        <w:t xml:space="preserve">Registered charities are exempt from the Do Not Call Register Act itself, but the Telemarketing and Research Calls Industry Standard 2017 still applies in full to charity calls. That covers permitted calling windows, Calling Line Identification that cannot be blocked, and a clear statement of who is calling, on whose behalf, and why.</w:t>
      </w:r>
    </w:p>
    <w:p>
      <w:pPr>
        <w:pStyle w:val="ListParagraph"/>
        <w:numPr>
          <w:ilvl w:val="0"/>
          <w:numId w:val="2"/>
        </w:numPr>
        <w:spacing w:after="80"/>
      </w:pPr>
      <w:r>
        <w:t xml:space="preserve">No calls on Sundays or public holidays, and only within the standard's permitted hours on other days.</w:t>
      </w:r>
    </w:p>
    <w:p>
      <w:pPr>
        <w:pStyle w:val="ListParagraph"/>
        <w:numPr>
          <w:ilvl w:val="0"/>
          <w:numId w:val="2"/>
        </w:numPr>
        <w:spacing w:after="80"/>
      </w:pPr>
      <w:r>
        <w:t xml:space="preserve">A do-not-contact request has to be honoured immediately, not argued with. Q14 in the bank scores that exact moment, and only the option that confirms removal without any pushback scores the top mark.</w:t>
      </w:r>
    </w:p>
    <w:p>
      <w:pPr>
        <w:pStyle w:val="ListParagraph"/>
        <w:numPr>
          <w:ilvl w:val="0"/>
          <w:numId w:val="2"/>
        </w:numPr>
        <w:spacing w:after="80"/>
      </w:pPr>
      <w:r>
        <w:t xml:space="preserve">ACMA can enforce breaches of the standard with penalties up to $250,000, so this is not a soft nice-to-have.</w:t>
      </w:r>
    </w:p>
    <w:p>
      <w:pPr>
        <w:pStyle w:val="ListParagraph"/>
        <w:numPr>
          <w:ilvl w:val="0"/>
          <w:numId w:val="2"/>
        </w:numPr>
        <w:spacing w:after="80"/>
      </w:pPr>
      <w:r>
        <w:t xml:space="preserve">Handling of any payment or personal details collected mid-call falls under the Privacy Act 1988 and the Australian Privacy Principles.</w:t>
      </w:r>
    </w:p>
    <w:p>
      <w:pPr>
        <w:pStyle w:val="Heading1"/>
        <w:spacing w:after="120" w:before="300"/>
      </w:pPr>
      <w:r>
        <w:t xml:space="preserve">Open decisions, yours to make</w:t>
      </w:r>
    </w:p>
    <w:p>
      <w:pPr>
        <w:pStyle w:val="ListParagraph"/>
        <w:numPr>
          <w:ilvl w:val="0"/>
          <w:numId w:val="2"/>
        </w:numPr>
        <w:spacing w:after="80"/>
      </w:pPr>
      <w:r>
        <w:t xml:space="preserve">Naming: I used charity_fundraising_v1 as a placeholder code, matching the lower_snake_case style of media_sales_v1 and generic_sales_v2. Happy to rename.</w:t>
      </w:r>
    </w:p>
    <w:p>
      <w:pPr>
        <w:pStyle w:val="ListParagraph"/>
        <w:numPr>
          <w:ilvl w:val="0"/>
          <w:numId w:val="2"/>
        </w:numPr>
        <w:spacing w:after="80"/>
      </w:pPr>
      <w:r>
        <w:t xml:space="preserve">Where it lives: I checked the live dashboard and these are three separate things, not one. audit_versions (media_sales_v1, generic_sales_v2, shown to respondents as Media Sales and The Hunter) is which question bank a person actually takes. Industries (automotive, media, pharma, tech, under Industries in the sidebar) are thinner vertical tags, code, name, description, sitting on top of an audit version, and all four are currently empty containers. Bespoke Clients (under Bespoke, empty right now too) is the mechanism for a one-off tailored engagement with a named client. If this is a general public option anyone can select, it wants to be a new audit_versions row. If it is specifically for one fundraising agency or charity client, Bespoke Clients is the more direct fit. I do not know which this is for, that is the actual open question now.</w:t>
      </w:r>
    </w:p>
    <w:p>
      <w:pPr>
        <w:pStyle w:val="ListParagraph"/>
        <w:numPr>
          <w:ilvl w:val="0"/>
          <w:numId w:val="2"/>
        </w:numPr>
        <w:spacing w:after="80"/>
      </w:pPr>
      <w:r>
        <w:t xml:space="preserve">Whether to fold in a real call script or recording once you have one, to replace the publicly-sourced objection patterns with verbatim ones.</w:t>
      </w:r>
    </w:p>
    <w:p>
      <w:pPr>
        <w:pStyle w:val="Heading1"/>
        <w:spacing w:after="120" w:before="300"/>
      </w:pPr>
      <w:r>
        <w:t xml:space="preserve">Getting this live</w:t>
      </w:r>
    </w:p>
    <w:p>
      <w:pPr>
        <w:spacing w:after="140"/>
      </w:pPr>
      <w:r>
        <w:t xml:space="preserve">Update: both files are already up, as reference material only. They are sitting in pull request #14 (add-charity-fundraising-audit into main), untouched otherwise, nothing merged, nothing deployed. I also checked whether I could reach your production database directly through Render's Shell tab, using the same browser-driven approach that got the GitHub upload done. The environment itself blocked that navigation outright, not a judgement call on my part, a hard stop. I did not attempt to work around it. Once you have confirmed the decisions above, the remaining mechanical steps are still yours:</w:t>
      </w:r>
    </w:p>
    <w:p>
      <w:pPr>
        <w:pStyle w:val="ListParagraph"/>
        <w:numPr>
          <w:ilvl w:val="0"/>
          <w:numId w:val="2"/>
        </w:numPr>
        <w:spacing w:after="80"/>
      </w:pPr>
      <w:r>
        <w:t xml:space="preserve">Review and merge PR #14, or ask me to adjust it first.</w:t>
      </w:r>
    </w:p>
    <w:p>
      <w:pPr>
        <w:pStyle w:val="ListParagraph"/>
        <w:numPr>
          <w:ilvl w:val="0"/>
          <w:numId w:val="2"/>
        </w:numPr>
        <w:spacing w:after="80"/>
      </w:pPr>
      <w:r>
        <w:t xml:space="preserve">Add the audit_versions row (or Bespoke Client, per the decision above) and point a seed script at charity_fundraising_v1_full.json, following the same pattern generic_sales_v2's seed script already uses.</w:t>
      </w:r>
    </w:p>
    <w:p>
      <w:pPr>
        <w:pStyle w:val="ListParagraph"/>
        <w:numPr>
          <w:ilvl w:val="0"/>
          <w:numId w:val="2"/>
        </w:numPr>
        <w:spacing w:after="80"/>
      </w:pPr>
      <w:r>
        <w:t xml:space="preserve">No scoring engine changes needed. band_thresholds_json, the archetype classifier and the report generator are all already version-agnostic, generic_sales_v2 proves that pattern works.</w:t>
      </w:r>
    </w:p>
    <w:p>
      <w:pPr>
        <w:pStyle w:val="ListParagraph"/>
        <w:numPr>
          <w:ilvl w:val="0"/>
          <w:numId w:val="2"/>
        </w:numPr>
        <w:spacing w:after="80"/>
      </w:pPr>
      <w:r>
        <w:t xml:space="preserve">Take the audit once yourself end to end, the way you did with generic_sales_v2 today, before it goes anywhere near a real fundraising team.</w:t>
      </w:r>
    </w:p>
    <w:p>
      <w:pPr>
        <w:pBdr>
          <w:bottom w:val="single" w:color="CCCCCC" w:sz="6"/>
        </w:pBdr>
        <w:spacing w:after="200"/>
      </w:pPr>
    </w:p>
    <w:p>
      <w:r>
        <w:rPr>
          <w:i/>
          <w:iCs/>
          <w:color w:val="666666"/>
          <w:sz w:val="20"/>
          <w:szCs w:val="20"/>
        </w:rPr>
        <w:t xml:space="preserve">Prepared from the live decipher repo (main and PR #14), a read-only pass over the Render dashboard and the live app.deciphersales.com.au, plus public fundraising and telemarketing-compliance research. No database was written to, and nothing merged to main.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2026-08-03T22:04:34.749Z</dcterms:created>
  <dcterms:modified xsi:type="dcterms:W3CDTF">2026-08-03T22:04:34.755Z</dcterms:modified>
</cp:coreProperties>
</file>

<file path=docProps/custom.xml><?xml version="1.0" encoding="utf-8"?>
<Properties xmlns="http://schemas.openxmlformats.org/officeDocument/2006/custom-properties" xmlns:vt="http://schemas.openxmlformats.org/officeDocument/2006/docPropsVTypes"/>
</file>