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numPr>
          <w:ilvl w:val="0"/>
          <w:numId w:val="1"/>
        </w:numPr>
        <w:spacing w:before="120" w:after="0"/>
        <w:rPr/>
      </w:pPr>
      <w:bookmarkStart w:id="0" w:name="_zarfic9de3sm"/>
      <w:bookmarkEnd w:id="0"/>
      <w:r>
        <w:rPr/>
        <w:t>GP-24.P1 E130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>
              <w:rStyle w:val="InternetLink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8270450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_Toc182704509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 Desarrollo general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33795293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_Toc337952935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Descripción del trabajo abarcado y los objetivos alcanzados en 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84201850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_Toc1842018507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1.2. Descripción de las decisiones, incidencias y/o cambios relacionados con la planificación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47317170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_Toc473171704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1.3. Riesgos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2110310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_Toc2110310641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 Entregables generados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4492033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_Toc449203349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2.1 E110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4464895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_Toc1446489574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 Otros activos relacionados con la Planificación y Gestión del Proyecto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13469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_Toc1346965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 Periodos de realización de las tareas y fechas de terminación de los entregables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2509558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_Toc1250955816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 Desviaciones respecto a la planificación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630" w:leader="dot"/>
            </w:tabs>
            <w:bidi w:val="0"/>
            <w:rPr/>
          </w:pPr>
          <w:hyperlink w:anchor="_Toc5317620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_Toc531762099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 Dedicación a cada una de las tareas y desviaciones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9630" w:leader="dot"/>
            </w:tabs>
            <w:bidi w:val="0"/>
            <w:rPr/>
          </w:pPr>
          <w:hyperlink w:anchor="_Toc16515427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_Toc1651542783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4.1 Desviaciones respecto a la planificación</w:t>
              <w:tab/>
              <w:t>1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Heading3"/>
        <w:spacing w:before="0" w:after="80"/>
        <w:jc w:val="both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" w:name="_Toc18270450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 Desarrollo general del proyecto</w:t>
      </w:r>
      <w:bookmarkEnd w:id="1"/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2" w:name="_Toc33795293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1.1 Descripción del trabajo abarcado y los objetivos alcanzados en el proyecto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 objetivo de este proyecto es crear un plan de estudio para el segundo cuatrimestre que tenga en cuenta los hitos de cada asignatura. Además, </w:t>
      </w:r>
      <w:r>
        <w:rPr/>
        <w:t xml:space="preserve">con esto facilitamos la visualización de la carga de trabajo de cada asignatura haciendo así mas fácil ver si </w:t>
      </w:r>
      <w:r>
        <w:rPr/>
        <w:t xml:space="preserve">se debe decidir si seguir en evaluación continua en todas las asignaturas o en cuál de ellas merece la pena ir por final. </w:t>
      </w:r>
    </w:p>
    <w:p>
      <w:pPr>
        <w:pStyle w:val="Normal"/>
        <w:rPr/>
      </w:pPr>
      <w:r>
        <w:rPr/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3" w:name="_Toc1842018507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1.2. Descripción de las decisiones, incidencias y/o cambios relacionados con la planificación del proyecto</w:t>
      </w:r>
      <w:bookmarkEnd w:id="3"/>
    </w:p>
    <w:p>
      <w:pPr>
        <w:pStyle w:val="Normal"/>
        <w:rPr/>
      </w:pPr>
      <w:r>
        <w:rPr/>
        <w:t xml:space="preserve">Para prepararme para el cuatrimestre, he empezado a recopilar información sobre las asignaturas con antelación </w:t>
      </w:r>
      <w:r>
        <w:rPr/>
        <w:t>ya que ya suponía que iba a tener bastante trabajo</w:t>
      </w:r>
      <w:r>
        <w:rPr/>
        <w:t xml:space="preserve">. Sin embargo, he retrasado la escritura de los archivos debido a la falta de planificación. </w:t>
      </w:r>
      <w:r>
        <w:rPr/>
        <w:t>Por otro lado</w:t>
      </w:r>
      <w:r>
        <w:rPr/>
        <w:t xml:space="preserve"> he trabajado en fin de semana para adelantar trabajo </w:t>
      </w:r>
      <w:r>
        <w:rPr/>
        <w:t>ya que tenia algo de tiempo libre y es algo que me va a ayudar durante el cuatrimestre si lo hago decentemente</w:t>
      </w:r>
      <w:r>
        <w:rPr/>
        <w:t>.</w:t>
      </w:r>
    </w:p>
    <w:p>
      <w:pPr>
        <w:pStyle w:val="Heading2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4" w:name="_Toc47317170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1.3. Riesgos</w:t>
      </w:r>
      <w:bookmarkEnd w:id="4"/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(si resultan significativos)</w:t>
      </w:r>
    </w:p>
    <w:p>
      <w:pPr>
        <w:pStyle w:val="Normal"/>
        <w:spacing w:beforeAutospacing="0" w:before="0" w:afterAutospacing="0" w:after="0"/>
        <w:jc w:val="both"/>
        <w:rPr>
          <w:rFonts w:ascii="Arial" w:hAnsi="Arial" w:eastAsia="Arial" w:cs="Arial"/>
          <w:b w:val="false"/>
          <w:b w:val="false"/>
          <w:bCs w:val="false"/>
          <w:i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</w:r>
    </w:p>
    <w:p>
      <w:pPr>
        <w:pStyle w:val="Heading1"/>
        <w:spacing w:beforeAutospacing="0" w:before="60" w:afterAutospacing="0" w:after="6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5" w:name="_Toc2110310641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 Entregables generados</w:t>
      </w:r>
      <w:bookmarkEnd w:id="5"/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6" w:name="_Toc44920334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2.1 E110</w:t>
      </w:r>
      <w:bookmarkEnd w:id="6"/>
    </w:p>
    <w:p>
      <w:pPr>
        <w:pStyle w:val="Normal"/>
        <w:rPr/>
      </w:pPr>
      <w:r>
        <w:rPr/>
        <w:t>Es un a</w:t>
      </w:r>
      <w:r>
        <w:rPr/>
        <w:t xml:space="preserve">rchivo en el que se especifica el plan de trabajo individual para este cuatrimestre, </w:t>
      </w:r>
      <w:r>
        <w:rPr/>
        <w:t>señalando el numero de horas previstas para cada asignatura elegida y con esto, se pretende visualizar mejor qu</w:t>
      </w:r>
      <w:r>
        <w:rPr>
          <w:rFonts w:eastAsia="Arial" w:cs="Arial"/>
          <w:color w:val="auto"/>
          <w:kern w:val="0"/>
          <w:sz w:val="24"/>
          <w:szCs w:val="24"/>
          <w:lang w:val="es-ES" w:eastAsia="es-ES" w:bidi="ar-SA"/>
        </w:rPr>
        <w:t>é</w:t>
      </w:r>
      <w:r>
        <w:rPr/>
        <w:t xml:space="preserve"> asignaturas van a necesitar m</w:t>
      </w:r>
      <w:r>
        <w:rPr>
          <w:rFonts w:eastAsia="Arial" w:cs="Arial"/>
          <w:color w:val="auto"/>
          <w:kern w:val="0"/>
          <w:sz w:val="24"/>
          <w:szCs w:val="24"/>
          <w:lang w:val="es-ES" w:eastAsia="es-ES" w:bidi="ar-SA"/>
        </w:rPr>
        <w:t>ás trabajo fuera de clase y en cuales es mejor ir por evaluación final</w:t>
      </w:r>
      <w:r>
        <w:rPr/>
        <w:t>.</w:t>
      </w:r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7" w:name="_Toc1446489574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2.2 Otros activos relacionados con la Planificación y Gestión del Proyecto</w:t>
      </w:r>
      <w:bookmarkEnd w:id="7"/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8" w:name="_Toc1346965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 Periodos de realización de las tareas y fechas de terminación de los entregables</w:t>
      </w:r>
      <w:bookmarkEnd w:id="8"/>
    </w:p>
    <w:p>
      <w:pPr>
        <w:pStyle w:val="Normal"/>
        <w:rPr/>
      </w:pPr>
      <w:r>
        <w:rPr/>
        <w:t xml:space="preserve">El E110 se inició el viernes 26 de enero y se completó el domingo. </w:t>
      </w:r>
    </w:p>
    <w:p>
      <w:pPr>
        <w:pStyle w:val="Normal"/>
        <w:rPr/>
      </w:pPr>
      <w:r>
        <w:rPr/>
        <w:t>El E130 se inició y completó el sábado 27 de enero.</w:t>
      </w:r>
    </w:p>
    <w:p>
      <w:pPr>
        <w:pStyle w:val="Heading2"/>
        <w:spacing w:beforeAutospacing="0" w:before="240" w:afterAutospacing="0" w:after="60"/>
        <w:ind w:left="1152" w:hanging="576"/>
        <w:jc w:val="both"/>
        <w:rPr/>
      </w:pPr>
      <w:bookmarkStart w:id="9" w:name="_Toc1250955816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3.1 Desviaciones respecto a la planificación</w:t>
      </w:r>
      <w:bookmarkEnd w:id="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 xml:space="preserve"> 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(si resultan significativas)</w:t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>El archivo E110 lo he podido entregar a la mañana aunque estuviese prevista la entrega para las 20:00 ya que tenia una hora y media en la que no tenia clase.</w:t>
      </w:r>
    </w:p>
    <w:p>
      <w:pPr>
        <w:pStyle w:val="Normal"/>
        <w:rPr/>
      </w:pPr>
      <w:r>
        <w:rPr/>
      </w:r>
    </w:p>
    <w:p>
      <w:pPr>
        <w:pStyle w:val="Heading1"/>
        <w:spacing w:beforeAutospacing="0" w:before="0" w:afterAutospacing="0" w:after="120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0" w:name="_Toc531762099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 Dedicación a cada una de las tareas y desviaciones</w:t>
      </w:r>
      <w:bookmarkEnd w:id="10"/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/>
          <w:sz w:val="24"/>
          <w:szCs w:val="24"/>
          <w:lang w:val="es-ES"/>
        </w:rPr>
        <w:t>Para el E110, se había previsto una duración de 2 horas. Para el E130, se había previsto una duración de 30 minutos.</w:t>
      </w:r>
    </w:p>
    <w:p>
      <w:pPr>
        <w:pStyle w:val="Heading2"/>
        <w:spacing w:beforeAutospacing="0" w:before="240" w:afterAutospacing="0" w:after="60"/>
        <w:ind w:left="1152" w:hanging="576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</w:pPr>
      <w:bookmarkStart w:id="11" w:name="_Toc1651542783"/>
      <w:r>
        <w:rPr>
          <w:rFonts w:eastAsia="Arial" w:cs="Arial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4"/>
          <w:szCs w:val="24"/>
          <w:u w:val="none"/>
        </w:rPr>
        <w:t>4.1 Desviaciones respecto a la planificación</w:t>
      </w:r>
      <w:bookmarkEnd w:id="11"/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>
          <w:rFonts w:eastAsia="Arial" w:cs="Arial"/>
          <w:b w:val="false"/>
          <w:bCs w:val="false"/>
          <w:i/>
          <w:iCs/>
          <w:strike w:val="false"/>
          <w:dstrike w:val="false"/>
          <w:color w:val="000000" w:themeColor="text1" w:themeShade="ff" w:themeTint="ff"/>
          <w:sz w:val="24"/>
          <w:szCs w:val="24"/>
          <w:u w:val="none"/>
          <w:lang w:val="es-ES"/>
        </w:rPr>
        <w:t xml:space="preserve">(si resultan significativas) </w:t>
      </w:r>
      <w:r>
        <w:rPr/>
        <w:tab/>
      </w:r>
    </w:p>
    <w:p>
      <w:pPr>
        <w:pStyle w:val="Normal"/>
        <w:rPr>
          <w:rFonts w:ascii="Arial" w:hAnsi="Arial" w:eastAsia="Arial" w:cs="Arial"/>
          <w:sz w:val="24"/>
          <w:szCs w:val="24"/>
          <w:lang w:val="es-ES"/>
        </w:rPr>
      </w:pPr>
      <w:r>
        <w:rPr/>
        <w:t xml:space="preserve">El E110 ha tomado unas 2.5 horas y el E130 unos 30 minutos </w:t>
      </w:r>
      <w:r>
        <w:rPr/>
        <w:t>en comparaci</w:t>
      </w:r>
      <w:r>
        <w:rPr>
          <w:rFonts w:eastAsia="Arial" w:cs="Arial"/>
          <w:color w:val="auto"/>
          <w:kern w:val="0"/>
          <w:sz w:val="24"/>
          <w:szCs w:val="24"/>
          <w:lang w:val="es-ES" w:eastAsia="es-ES" w:bidi="ar-SA"/>
        </w:rPr>
        <w:t>ón a las 2 horas y a los 30 minutos esperados respectivamente para cada archivo</w:t>
      </w:r>
      <w:r>
        <w:rPr/>
        <w:t>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418" w:footer="720" w:bottom="1418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bookmarkStart w:id="12" w:name="_GoBack"/>
    <w:bookmarkEnd w:id="12"/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P1.Plantilla E130</w:t>
    </w:r>
    <w:r>
      <w:rPr/>
      <w:tab/>
      <w:tab/>
      <w:tab/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2070" w:leader="none"/>
        <w:tab w:val="left" w:pos="3975" w:leader="none"/>
        <w:tab w:val="center" w:pos="4252" w:leader="none"/>
        <w:tab w:val="right" w:pos="9500" w:leader="none"/>
      </w:tabs>
      <w:jc w:val="left"/>
      <w:rPr>
        <w:rFonts w:ascii="Times New Roman" w:hAnsi="Times New Roman" w:eastAsia="Times New Roman" w:cs="Times New Roman"/>
        <w:color w:val="000000"/>
        <w:sz w:val="20"/>
        <w:szCs w:val="20"/>
      </w:rPr>
    </w:pPr>
    <w:r>
      <w:rPr>
        <w:color w:val="000000" w:themeColor="text1" w:themeShade="ff" w:themeTint="ff"/>
        <w:sz w:val="18"/>
        <w:szCs w:val="18"/>
      </w:rPr>
      <w:t>GP-</w:t>
    </w:r>
    <w:r>
      <w:rPr>
        <w:sz w:val="18"/>
        <w:szCs w:val="18"/>
      </w:rPr>
      <w:t>24</w:t>
    </w:r>
    <w:bookmarkStart w:id="13" w:name="_GoBack"/>
    <w:bookmarkEnd w:id="13"/>
    <w:r>
      <w:rPr>
        <w:color w:val="000000" w:themeColor="text1" w:themeShade="ff" w:themeTint="ff"/>
        <w:sz w:val="18"/>
        <w:szCs w:val="18"/>
      </w:rPr>
      <w:t>.</w:t>
    </w:r>
    <w:r>
      <w:rPr>
        <w:sz w:val="18"/>
        <w:szCs w:val="18"/>
      </w:rPr>
      <w:t>P1.Plantilla E130</w:t>
    </w:r>
    <w:r>
      <w:rPr/>
      <w:tab/>
      <w:tab/>
      <w:tab/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PAGE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  <w:r>
      <w:rPr>
        <w:color w:val="000000" w:themeColor="text1" w:themeShade="ff" w:themeTint="ff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sz w:val="18"/>
        <w:szCs w:val="18"/>
        <w:color w:val="000000"/>
      </w:rPr>
      <w:instrText xml:space="preserve"> NUMPAGES </w:instrText>
    </w:r>
    <w:r>
      <w:rPr>
        <w:sz w:val="18"/>
        <w:szCs w:val="18"/>
        <w:color w:val="000000"/>
      </w:rPr>
      <w:fldChar w:fldCharType="separate"/>
    </w:r>
    <w:r>
      <w:rPr>
        <w:sz w:val="18"/>
        <w:szCs w:val="18"/>
        <w:color w:val="000000"/>
      </w:rPr>
      <w:t>3</w:t>
    </w:r>
    <w:r>
      <w:rPr>
        <w:sz w:val="18"/>
        <w:szCs w:val="18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color w:val="000000"/>
        <w:sz w:val="18"/>
        <w:szCs w:val="18"/>
      </w:rPr>
      <w:t>JECH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/>
      <w:drawing>
        <wp:inline distT="0" distB="0" distL="0" distR="0">
          <wp:extent cx="579755" cy="436245"/>
          <wp:effectExtent l="0" t="0" r="0" b="0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436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  <w:r>
      <w:rPr>
        <w:color w:val="000000"/>
        <w:sz w:val="18"/>
        <w:szCs w:val="18"/>
      </w:rPr>
      <w:tab/>
      <w:tab/>
      <w:t>GP-</w:t>
    </w:r>
    <w:r>
      <w:rPr>
        <w:sz w:val="18"/>
        <w:szCs w:val="18"/>
      </w:rPr>
      <w:t>24</w:t>
    </w:r>
    <w:r>
      <w:rPr>
        <w:color w:val="000000"/>
        <w:sz w:val="18"/>
        <w:szCs w:val="18"/>
      </w:rPr>
      <w:t>.</w:t>
    </w:r>
    <w:r>
      <w:rPr>
        <w:color w:val="000000"/>
        <w:sz w:val="18"/>
        <w:szCs w:val="18"/>
      </w:rPr>
      <w:t>JECH</w:t>
    </w:r>
  </w:p>
  <w:p>
    <w:pPr>
      <w:pStyle w:val="Normal"/>
      <w:tabs>
        <w:tab w:val="clear" w:pos="720"/>
        <w:tab w:val="left" w:pos="1281" w:leader="none"/>
        <w:tab w:val="center" w:pos="4252" w:leader="none"/>
        <w:tab w:val="right" w:pos="9501" w:leader="none"/>
      </w:tabs>
      <w:spacing w:before="709" w:after="0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 w:val="true"/>
      <w:widowControl/>
      <w:suppressAutoHyphens w:val="true"/>
      <w:bidi w:val="0"/>
      <w:spacing w:before="0" w:after="0"/>
      <w:jc w:val="both"/>
    </w:pPr>
    <w:rPr>
      <w:rFonts w:ascii="Arial" w:hAnsi="Arial" w:eastAsia="Arial" w:cs="Arial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pPr>
      <w:spacing w:before="240" w:after="60"/>
      <w:ind w:left="432" w:hanging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spacing w:before="240" w:after="60"/>
      <w:ind w:left="576" w:hanging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Lines/>
      <w:spacing w:before="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130a8d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130a8d"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Lines/>
      <w:spacing w:before="120" w:after="0"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qFormat/>
    <w:pPr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130a8d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pPr>
      <w:spacing w:before="0" w:after="100"/>
      <w:ind w:left="22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895e5-eb36-4d9c-acdb-3788dbf03f06}"/>
      </w:docPartPr>
      <w:docPartBody>
        <w:p w14:paraId="48AAEAE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LibreOffice/7.3.7.2$Linux_X86_64 LibreOffice_project/30$Build-2</Application>
  <AppVersion>15.0000</AppVersion>
  <Pages>3</Pages>
  <Words>504</Words>
  <Characters>2504</Characters>
  <CharactersWithSpaces>2985</CharactersWithSpaces>
  <Paragraphs>38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2024-01-19T11:48:00Z</dcterms:created>
  <dc:creator/>
  <dc:description/>
  <dc:language>en-US</dc:language>
  <cp:lastModifiedBy/>
  <dcterms:modified xsi:type="dcterms:W3CDTF">2024-01-29T19:03:39Z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