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numPr>
          <w:ilvl w:val="0"/>
          <w:numId w:val="2"/>
        </w:numPr>
        <w:spacing w:before="120" w:after="0"/>
        <w:rPr/>
      </w:pPr>
      <w:bookmarkStart w:id="0" w:name="_zarfic9de3sm"/>
      <w:bookmarkEnd w:id="0"/>
      <w:r>
        <w:rPr/>
        <w:t>GP-</w:t>
      </w:r>
      <w:bookmarkStart w:id="1" w:name="_Int_SWdlTmDr"/>
      <w:r>
        <w:rPr/>
        <w:t>24.P</w:t>
      </w:r>
      <w:bookmarkEnd w:id="1"/>
      <w:r>
        <w:rPr/>
        <w:t>2.</w:t>
      </w:r>
      <w:bookmarkStart w:id="2" w:name="_Int_w1HztoYf"/>
      <w:r>
        <w:rPr/>
        <w:t>1.Plantilla</w:t>
      </w:r>
      <w:bookmarkEnd w:id="2"/>
      <w:r>
        <w:rPr/>
        <w:t xml:space="preserve"> E220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373741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_Toc37374135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 Alcance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391399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_Toc391399390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1.1 Descripción de los objetivos concretos del proyecto y del trabajo a abordar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452089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_Toc1452089373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1.2. Requisitos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15933002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_Toc1593300250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1.2.1 Caracterización de los guiones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2003973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_Toc200397344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1.2.2 Caracterización de los vídeos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5674088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_Toc567408870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1.2.3 Licencia del producto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20960375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_Toc2096037521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1.3. Descripción de las exclusiones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3238737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_Toc1323873702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1.4. Entregables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11556813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_Toc1155681344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1.4.1 Relacionados con el objeto del proyecto en sí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1110220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_Toc1110220991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1.4.2 Relacionados con la Planificación y Gestión de P2.1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561006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_Toc561006199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1.5 WBS/EDT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282349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_Toc1282349476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1.6. Supuestos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9334385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_Toc933438550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 Periodos de realización de las tareas y fechas de terminación de los entregables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353019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_Toc1353019969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2.1 Descripción tareas a realizar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7629383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_Toc1762938325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2.2 Dependencias entre tareas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20105793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_Toc2010579307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2.3 Periodo de desarrollo de las tareas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2987045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_Toc1298704503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2.4 Hitos en el desarrollo del proyecto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306297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_Toc306297192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3. Estimación de dedicación a cada una de las tareas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9744304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_Toc974430466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4. Asignación de responsabilidades y encargos a los miembros del grupo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14422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_Toc1442237938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5. Caracterización del sistema de información y del sistema de comunicaciones en el proyecto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7134353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_Toc713435312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5.1 Sistema de Información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1089273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_Toc1089273002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Estructura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17202502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_Toc1720250285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Formatos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478621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_Toc478621424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Denominación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630" w:leader="dot"/>
            </w:tabs>
            <w:bidi w:val="0"/>
            <w:rPr/>
          </w:pPr>
          <w:hyperlink w:anchor="_Toc4902686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_Toc490268617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Copias de Seguridad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2128572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_Toc212857231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5.2 Comunicaciones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12971497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_Toc1297149743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6. Análisis de riesgos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spacing w:before="0" w:after="120"/>
        <w:rPr>
          <w:color w:val="000000" w:themeColor="text1" w:themeShade="ff" w:themeTint="ff"/>
        </w:rPr>
      </w:pPr>
      <w:bookmarkStart w:id="3" w:name="_Toc37374135"/>
      <w:r>
        <w:rPr>
          <w:color w:val="000000" w:themeColor="text1" w:themeShade="ff" w:themeTint="ff"/>
        </w:rPr>
        <w:t>1. Alcance</w:t>
      </w:r>
      <w:bookmarkEnd w:id="3"/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240" w:afterAutospacing="0" w:after="0"/>
        <w:ind w:left="432" w:right="0" w:hanging="432"/>
        <w:contextualSpacing/>
        <w:jc w:val="both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  <w:t xml:space="preserve">El alcance de la primera fase del proyecto P2 (P2.1) incluye el trabajo necesario para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producir y entregar dos guiones de vídeos orientados a informar/concienciar/motivar a la acción a estudiantes y profesionales de Ingeniería Informática respecto a los Objetivos de Desarrollo Sostenible (ODS). Las características del producto y de las entregas deben ser compatibles con las descritas en el </w:t>
      </w:r>
      <w:hyperlink r:id="rId2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es-ES"/>
          </w:rPr>
          <w:t>documento de presentación de GP-24.P2.1</w:t>
        </w:r>
      </w:hyperlink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.</w:t>
      </w:r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2"/>
        <w:spacing w:before="60" w:after="60"/>
        <w:rPr>
          <w:color w:val="000000" w:themeColor="text1" w:themeShade="ff" w:themeTint="ff"/>
        </w:rPr>
      </w:pPr>
      <w:bookmarkStart w:id="4" w:name="_Toc391399390"/>
      <w:r>
        <w:rPr>
          <w:color w:val="000000" w:themeColor="text1" w:themeShade="ff" w:themeTint="ff"/>
        </w:rPr>
        <w:t>1.1 Descripción de los objetivos concretos del proyecto y del trabajo a abordar</w:t>
      </w:r>
      <w:bookmarkEnd w:id="4"/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color w:val="000000" w:themeColor="text1" w:themeShade="ff" w:themeTint="ff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objetivo del proyecto es desarrollar dos guiones de calidad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[aceptable, excelente...]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. El proyecto debe realizarse en el marco temporal y de dedicación definido externamente en el documento de presentación del proyecto GP-24.P2.1. Además, la gestión del proyecto debe atender a los principios recogidos en dicho documento,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[Aunque no se renuncia al aprendizaje organizativo, no se realizará su recogida en un Documento de Lecciones Aprendidas.]</w:t>
      </w:r>
    </w:p>
    <w:p>
      <w:pPr>
        <w:pStyle w:val="ListParagraph"/>
        <w:numPr>
          <w:ilvl w:val="0"/>
          <w:numId w:val="2"/>
        </w:numPr>
        <w:spacing w:before="0" w:after="240"/>
        <w:contextualSpacing/>
        <w:rPr/>
      </w:pPr>
      <w:r>
        <w:rPr/>
      </w:r>
    </w:p>
    <w:p>
      <w:pPr>
        <w:pStyle w:val="Heading2"/>
        <w:spacing w:before="60" w:after="60"/>
        <w:rPr>
          <w:color w:val="000000" w:themeColor="text1" w:themeShade="ff" w:themeTint="ff"/>
        </w:rPr>
      </w:pPr>
      <w:bookmarkStart w:id="5" w:name="_Toc1452089373"/>
      <w:r>
        <w:rPr>
          <w:color w:val="000000" w:themeColor="text1" w:themeShade="ff" w:themeTint="ff"/>
        </w:rPr>
        <w:t>1.2. Requisitos</w:t>
      </w:r>
      <w:bookmarkEnd w:id="5"/>
    </w:p>
    <w:p>
      <w:pPr>
        <w:pStyle w:val="Heading3"/>
        <w:keepLines/>
        <w:numPr>
          <w:ilvl w:val="0"/>
          <w:numId w:val="2"/>
        </w:numPr>
        <w:bidi w:val="0"/>
        <w:spacing w:lineRule="auto" w:line="259" w:beforeAutospacing="0" w:before="0" w:afterAutospacing="0" w:after="0"/>
        <w:ind w:left="432" w:right="0" w:hanging="432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</w:pPr>
      <w:bookmarkStart w:id="6" w:name="_Toc1593300250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  <w:t>1.2.1 Caracterización de los guiones</w:t>
      </w:r>
      <w:bookmarkEnd w:id="6"/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3"/>
        <w:numPr>
          <w:ilvl w:val="0"/>
          <w:numId w:val="2"/>
        </w:numPr>
        <w:bidi w:val="0"/>
        <w:spacing w:beforeAutospacing="0" w:before="0" w:afterAutospacing="0" w:after="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</w:pPr>
      <w:bookmarkStart w:id="7" w:name="_Toc20039734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  <w:t>1.2.2 Caracterización de los vídeos</w:t>
      </w:r>
      <w:bookmarkEnd w:id="7"/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3"/>
        <w:numPr>
          <w:ilvl w:val="0"/>
          <w:numId w:val="2"/>
        </w:numPr>
        <w:bidi w:val="0"/>
        <w:spacing w:beforeAutospacing="0" w:before="0" w:afterAutospacing="0" w:after="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</w:pPr>
      <w:bookmarkStart w:id="8" w:name="_Toc567408870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  <w:t>1.2.3 Licencia del producto</w:t>
      </w:r>
      <w:bookmarkEnd w:id="8"/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La licencia de los contenidos incluidos en los guiones será...</w:t>
      </w:r>
    </w:p>
    <w:p>
      <w:pPr>
        <w:pStyle w:val="Heading2"/>
        <w:spacing w:before="60" w:after="60"/>
        <w:rPr>
          <w:color w:val="000000" w:themeColor="text1" w:themeShade="ff" w:themeTint="ff"/>
        </w:rPr>
      </w:pPr>
      <w:bookmarkStart w:id="9" w:name="_Toc2096037521"/>
      <w:r>
        <w:rPr>
          <w:color w:val="000000" w:themeColor="text1" w:themeShade="ff" w:themeTint="ff"/>
        </w:rPr>
        <w:t>1.3. Descripción de las exclusiones</w:t>
      </w:r>
      <w:bookmarkEnd w:id="9"/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240" w:afterAutospacing="0" w:after="0"/>
        <w:ind w:left="432" w:right="0" w:hanging="432"/>
        <w:contextualSpacing/>
        <w:jc w:val="both"/>
        <w:rPr>
          <w:color w:val="000000" w:themeColor="text1" w:themeShade="ff" w:themeTint="ff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Se excluye el contraste con usuarios reales de la calidad de los guiones, que será únicamente validada por los propios miembros del equipo de proyecto.</w:t>
      </w:r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Se excluye la redacción de avisos legales que, en su caso, serán aportados externamente.</w:t>
      </w:r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bidi w:val="0"/>
        <w:ind w:left="0" w:hanging="0"/>
        <w:rPr/>
      </w:pPr>
      <w:r>
        <w:rPr/>
      </w:r>
    </w:p>
    <w:p>
      <w:pPr>
        <w:pStyle w:val="Heading2"/>
        <w:spacing w:before="60" w:after="60"/>
        <w:rPr>
          <w:color w:val="000000" w:themeColor="text1" w:themeShade="ff" w:themeTint="ff"/>
        </w:rPr>
      </w:pPr>
      <w:bookmarkStart w:id="10" w:name="_Toc1323873702"/>
      <w:r>
        <w:rPr>
          <w:color w:val="000000" w:themeColor="text1" w:themeShade="ff" w:themeTint="ff"/>
        </w:rPr>
        <w:t>1.4. Entregables</w:t>
      </w:r>
      <w:bookmarkEnd w:id="10"/>
    </w:p>
    <w:p>
      <w:pPr>
        <w:pStyle w:val="Heading3"/>
        <w:numPr>
          <w:ilvl w:val="0"/>
          <w:numId w:val="2"/>
        </w:numPr>
        <w:bidi w:val="0"/>
        <w:spacing w:lineRule="auto" w:line="259" w:beforeAutospacing="0" w:before="0" w:afterAutospacing="0" w:after="0"/>
        <w:ind w:left="432" w:right="0" w:hanging="432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</w:pPr>
      <w:bookmarkStart w:id="11" w:name="_Toc115568134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  <w:t>1.4.1 Relacionados con el objeto del proyecto en sí</w:t>
      </w:r>
      <w:bookmarkEnd w:id="11"/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Entregable 1 (P2.1.E210.A)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Entregable 2 (P2.1.E210.B)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3"/>
        <w:numPr>
          <w:ilvl w:val="0"/>
          <w:numId w:val="2"/>
        </w:numPr>
        <w:spacing w:beforeAutospacing="0" w:before="0" w:afterAutospacing="0" w:after="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</w:pPr>
      <w:bookmarkStart w:id="12" w:name="_Toc1110220991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434343"/>
          <w:sz w:val="24"/>
          <w:szCs w:val="24"/>
          <w:u w:val="none"/>
        </w:rPr>
        <w:t>1.4.2 Relacionados con la Planificación y Gestión de P2.1</w:t>
      </w:r>
      <w:bookmarkEnd w:id="12"/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P2.1.E220.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El documento que contiene esta planificación.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P2.1.E230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. Informe de Seguimiento y Control recogiendo los aspectos relevantes en consonancia con los requerimientos descritos en el documento de presentación del proyecto GP-24.P2 y con las plantillas disponibles.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2"/>
        <w:bidi w:val="0"/>
        <w:spacing w:lineRule="auto" w:line="259" w:beforeAutospacing="0" w:before="60" w:afterAutospacing="0" w:after="60"/>
        <w:ind w:left="576" w:right="0" w:hanging="0"/>
        <w:jc w:val="both"/>
        <w:rPr>
          <w:color w:val="000000" w:themeColor="text1" w:themeShade="ff" w:themeTint="ff"/>
        </w:rPr>
      </w:pPr>
      <w:bookmarkStart w:id="13" w:name="_Toc561006199"/>
      <w:r>
        <w:rPr>
          <w:color w:val="000000" w:themeColor="text1" w:themeShade="ff" w:themeTint="ff"/>
        </w:rPr>
        <w:t>1.5 WBS/EDT</w:t>
      </w:r>
      <w:bookmarkEnd w:id="13"/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color w:val="000000" w:themeColor="text1" w:themeShade="ff" w:themeTint="ff"/>
        </w:rPr>
      </w:pPr>
      <w:r>
        <w:rPr/>
        <w:drawing>
          <wp:inline distT="0" distB="0" distL="0" distR="0">
            <wp:extent cx="5930900" cy="2978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0000" r="0" b="1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Rama P2.1.E210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Rama Gestión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paquete de Trabajo de 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Planificación (P)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incluye las tareas de planificación inicial, así como aquellas que -en su caso- fuera necesario realizar para mantener una planificación adecuada.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paquete de Trabajo 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Aprendizaje Organizativo (AO)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agrupará todas las tareas de incremento de conocimiento asociado al desarrollo de este proyecto. 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paquete de trabajo 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Seguimiento y Control (SyC)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agrupará las tareas necesarias para garantizar el adecuado desarrollo del proyecto y, en particular, el seguimiento de las dedicaciones de los miembros del equipo de proyecto, cumplimiento de plazos y especificaciones.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/>
      </w:pPr>
      <w:r>
        <w:rPr/>
      </w:r>
    </w:p>
    <w:p>
      <w:pPr>
        <w:pStyle w:val="Heading2"/>
        <w:spacing w:before="60" w:after="60"/>
        <w:rPr>
          <w:color w:val="000000" w:themeColor="text1" w:themeShade="ff" w:themeTint="ff"/>
        </w:rPr>
      </w:pPr>
      <w:bookmarkStart w:id="14" w:name="_Toc1282349476"/>
      <w:r>
        <w:rPr>
          <w:color w:val="000000" w:themeColor="text1" w:themeShade="ff" w:themeTint="ff"/>
        </w:rPr>
        <w:t>1.6. Supuestos</w:t>
      </w:r>
      <w:bookmarkEnd w:id="14"/>
    </w:p>
    <w:p>
      <w:pPr>
        <w:pStyle w:val="ListParagraph"/>
        <w:keepLines/>
        <w:numPr>
          <w:ilvl w:val="0"/>
          <w:numId w:val="2"/>
        </w:numPr>
        <w:spacing w:before="240" w:after="240"/>
        <w:contextualSpacing/>
        <w:rPr>
          <w:color w:val="000000" w:themeColor="text1" w:themeShade="ff" w:themeTint="ff"/>
        </w:rPr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S1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. 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1"/>
        <w:spacing w:before="0" w:after="120"/>
        <w:rPr>
          <w:color w:val="000000" w:themeColor="text1" w:themeShade="ff" w:themeTint="ff"/>
        </w:rPr>
      </w:pPr>
      <w:bookmarkStart w:id="15" w:name="_Toc933438550"/>
      <w:r>
        <w:rPr>
          <w:color w:val="000000" w:themeColor="text1" w:themeShade="ff" w:themeTint="ff"/>
        </w:rPr>
        <w:t>2. Periodos de realización de las tareas y fechas de terminación de los entregables</w:t>
      </w:r>
      <w:bookmarkEnd w:id="15"/>
    </w:p>
    <w:p>
      <w:pPr>
        <w:pStyle w:val="Heading2"/>
        <w:spacing w:beforeAutospacing="0" w:before="0" w:afterAutospacing="0" w:after="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6" w:name="_Toc135301996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2.1 Descripción tareas a realizar</w:t>
      </w:r>
      <w:bookmarkEnd w:id="16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Paquete de Trabajo E210.A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Paquete de Trabajo E210.B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Gestión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Paquete de Planificación (P)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P.T1.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Tareas relacionadas con la identificación de requisitos, toma de decisiones iniciales, anaĺisis de información y resolución de dudas.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P.T2.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Planificación inicial orientada a preparación del entorno de desarrollo del proyecto y la generación de P3.E320.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P.T3.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Actualización, si fuera necesaria, de la Planificación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Paquete de Seguimiento y Control (SC)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SC.T1.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Recogida de Información relevante sobre el desarrollo del proyecto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SC.T2.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Contraste de la información de seguimiento con los planes, identificación de desviaciones significativas y de riesgos emergentes.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SC.T3.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Aseguramiento de las condiciones para el éxito del proyecto.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SC.T4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. Elaboración del informe de Seguimiento y Control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0" w:afterAutospacing="0" w:after="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7" w:name="_Toc176293832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2.2 Dependencias entre tareas</w:t>
      </w:r>
      <w:bookmarkEnd w:id="17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Heading2"/>
        <w:spacing w:beforeAutospacing="0" w:before="0" w:afterAutospacing="0" w:after="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8" w:name="_Toc201057930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2.3 Periodo de desarrollo de las tareas</w:t>
      </w:r>
      <w:bookmarkEnd w:id="18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Heading2"/>
        <w:spacing w:beforeAutospacing="0" w:before="0" w:afterAutospacing="0" w:after="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9" w:name="_Toc1298704503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2.4 Hitos en el desarrollo del proyecto</w:t>
      </w:r>
      <w:bookmarkEnd w:id="19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0" w:name="_Toc306297192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 Estimación de dedicación a cada una de las tareas</w:t>
      </w:r>
      <w:bookmarkEnd w:id="20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1" w:name="_Toc974430466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 Asignación de responsabilidades y encargos a los miembros del grupo</w:t>
      </w:r>
      <w:bookmarkEnd w:id="21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Las Tareas del Paquete de Trabajo [...] serán responsabilidad de ZZ.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Las Tareas del Paquete de Trabajo  [...] serán responsabilidad de YY.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Las Tareas de los Paquetes de Trabajo de Gestión implicarán tanto a XX como a...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Todas las entregas externas del proyecto serán responsabilidad de la misma persona:...</w:t>
      </w:r>
    </w:p>
    <w:p>
      <w:pPr>
        <w:pStyle w:val="Heading1"/>
        <w:spacing w:before="0" w:after="120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2" w:name="_Toc1442237938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5. Caracterización del sistema de información y del sistema de comunicaciones en el proyecto</w:t>
      </w:r>
      <w:bookmarkEnd w:id="22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</w:t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3" w:name="_Toc713435312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5.1 Sistema de Información</w:t>
      </w:r>
      <w:bookmarkEnd w:id="23"/>
    </w:p>
    <w:p>
      <w:pPr>
        <w:pStyle w:val="Heading3"/>
        <w:spacing w:beforeAutospacing="0" w:before="0" w:afterAutospacing="0" w:after="8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4" w:name="_Toc1089273002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Estructura</w:t>
      </w:r>
      <w:bookmarkEnd w:id="24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Sistema de Información para P2.1 estará formado por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X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subsistemas: 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primero y más importante, será compartido, residirá en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la nube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y estará soportado por  diversos servicios pertenecientes al ecosistema de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[Google...]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Los otros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Y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residirán en los respectivos equipos de los miembros del equipo (describir equipos)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Los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X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 subsistemas tendrán una estructura común, con una carpeta/directorio raíz denominado GP-24.P2.1 que incluirá dos carpetas GP-24.P2.1.E210 y GP-24.P2.1.Gestión.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Heading3"/>
        <w:spacing w:beforeAutospacing="0" w:before="0" w:afterAutospacing="0" w:after="8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5" w:name="_Toc172025028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Formatos</w:t>
      </w:r>
      <w:bookmarkEnd w:id="25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Los documentos de texto editables tendrán formato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[…]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Los documentos tendrán un formato común cuyas características generales estarán alineadas con las de la plantilla para P2.1.E220.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Los documentos entregables externos tendrán formato pdf.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Heading3"/>
        <w:spacing w:beforeAutospacing="0" w:before="0" w:afterAutospacing="0" w:after="8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6" w:name="_Toc47862142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Denominación</w:t>
      </w:r>
      <w:bookmarkEnd w:id="26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Todos los ficheros asociados al proyecto tendrán una nomenclatura homogénea que permita identificarlos y relacionarlos de forma sencilla al paquete de trabajo al que estén asociados. Cuando haya varias versiones relevantes de un Documento/Fichero se identificarán con el sufijo vn (ejemplo GP-24.P2.1.E220.v2). Las versiones de entrega y las definitivas no incluirán ese sufijo.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La síntesis/notas/resumen de las reuniones de trabajo asociadas a la gestión se recogerán en un formato alineado con el formato normalizado. Las actas de las reuniones ordinarias se denominarán GP-24.P2.1.Rn0 (con n&gt;0). Cuando se realicen reuniones extraordinarias (fuera de las previstas inicialmente) el nombre será GP-24.P2.1.Rnm (con n referencia a la última reunión ordinaria y m&gt;0)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Heading3"/>
        <w:spacing w:beforeAutospacing="0" w:before="0" w:afterAutospacing="0" w:after="80"/>
        <w:jc w:val="both"/>
        <w:rPr/>
      </w:pPr>
      <w:bookmarkStart w:id="27" w:name="_Toc49026861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Copias de Seguridad</w:t>
      </w:r>
      <w:bookmarkEnd w:id="2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 xml:space="preserve"> 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El sistema de respaldo del proyecto queda caracterizado de la siguiente forma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8" w:name="_Toc212857231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5.2 Comunicaciones</w:t>
      </w:r>
      <w:bookmarkEnd w:id="28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La comunicación síncrona a distancia se realizará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[...].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Los horarios habilitados para este tipo de comunicación serán los comprendidos entre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 xml:space="preserve"> ...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La comunicación asíncrona por medio de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correo electrónico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...]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Las comunicaciones y entregas externas al equipo de proyecto que se realicen a través de los formularios serán responsabilidad de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Las comunicaciones con el promotor del proyecto se realizarán </w:t>
      </w: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Las comunicaciones con el cliente del proyecto se realizarán vía correo electrónico. Las posibles dudas deberán plantearse antes del 6/II.</w:t>
      </w:r>
    </w:p>
    <w:p>
      <w:pPr>
        <w:pStyle w:val="Normal"/>
        <w:spacing w:beforeAutospacing="0" w:before="0" w:afterAutospacing="0" w:after="0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9" w:name="_Toc1297149743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6. Análisis de riesgos</w:t>
      </w:r>
      <w:bookmarkEnd w:id="29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highlight w:val="yellow"/>
          <w:u w:val="none"/>
          <w:lang w:val="es-ES"/>
        </w:rPr>
        <w:t>[...]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418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P2.1.Plantilla E220</w:t>
    </w:r>
    <w:r>
      <w:rPr/>
      <w:tab/>
      <w:tab/>
      <w:tab/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7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7</w:t>
    </w:r>
    <w:r>
      <w:rPr>
        <w:sz w:val="18"/>
        <w:szCs w:val="18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P2.1.Plantilla E220</w:t>
    </w:r>
    <w:r>
      <w:rPr/>
      <w:tab/>
      <w:tab/>
      <w:tab/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7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7</w:t>
    </w:r>
    <w:r>
      <w:rPr>
        <w:sz w:val="18"/>
        <w:szCs w:val="1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spacing w:before="240" w:after="60"/>
      <w:ind w:left="432" w:hanging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spacing w:before="240" w:after="60"/>
      <w:ind w:left="576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Lines/>
      <w:spacing w:before="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oiburuaKar" w:customStyle="1">
    <w:name w:val="Goiburua Kar"/>
    <w:basedOn w:val="DefaultParagraphFont"/>
    <w:link w:val="Header"/>
    <w:uiPriority w:val="99"/>
    <w:qFormat/>
    <w:rsid w:val="00130a8d"/>
    <w:rPr/>
  </w:style>
  <w:style w:type="character" w:styleId="OrrioinaKar" w:customStyle="1">
    <w:name w:val="Orri-oina Kar"/>
    <w:basedOn w:val="DefaultParagraphFont"/>
    <w:link w:val="Footer"/>
    <w:uiPriority w:val="99"/>
    <w:qFormat/>
    <w:rsid w:val="00130a8d"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Lines/>
      <w:spacing w:before="120" w:after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GoiburuaK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OrrioinaK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aretaduntaula">
    <w:name w:val="Table Grid"/>
    <w:basedOn w:val="Taulanormala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pvehueus-my.sharepoint.com/:w:/g/personal/miren_bermejo_ehu_eus/EfWhsZ8aTFlAmVXBUR8OdGIBExlEZiurWijqrTlQ6ykjKA?e=h9jYb5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1f8ba-1136-44b7-985f-9555ed48fbc0}"/>
      </w:docPartPr>
      <w:docPartBody>
        <w:p w14:paraId="51DB5902">
          <w:r>
            <w:rPr>
              <w:rStyle w:val="PlaceholderText"/>
            </w:rPr>
            <w:t>Egin klik hemen testua idazteko.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7</Pages>
  <Words>1126</Words>
  <Characters>6401</Characters>
  <CharactersWithSpaces>7418</CharactersWithSpaces>
  <Paragraphs>124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2024-01-22T13:57:00Z</dcterms:created>
  <dc:creator/>
  <dc:description/>
  <dc:language>en-US</dc:language>
  <cp:lastModifiedBy>IMANOL USANDIZAGA</cp:lastModifiedBy>
  <dcterms:modified xsi:type="dcterms:W3CDTF">2024-01-31T15:13:47Z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