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Ruby: The Payer-Action Automation Engine</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Casa 9 Inc — Ruby RCM platform — Software Engineer Case Study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Take-home plus a 60 to 75 minute debrief. Target effort 4 to 6 hours; a 4-hour core variant is marked in section 8.</w:t>
      </w:r>
      <w:r w:rsidDel="00000000" w:rsidR="00000000" w:rsidRPr="00000000">
        <w:rPr>
          <w:rtl w:val="0"/>
        </w:rPr>
      </w:r>
    </w:p>
    <w:bookmarkStart w:colFirst="0" w:colLast="0" w:name="dqx7z24a7qnw" w:id="0"/>
    <w:bookmarkEnd w:id="0"/>
    <w:p w:rsidR="00000000" w:rsidDel="00000000" w:rsidP="00000000" w:rsidRDefault="00000000" w:rsidRPr="00000000" w14:paraId="00000004">
      <w:pPr>
        <w:pStyle w:val="Heading1"/>
        <w:rPr/>
      </w:pPr>
      <w:r w:rsidDel="00000000" w:rsidR="00000000" w:rsidRPr="00000000">
        <w:rPr>
          <w:rtl w:val="0"/>
        </w:rPr>
        <w:t xml:space="preserve">1. Why we built this exercise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Ruby is an AI-native revenue cycle management platform for outpatient infusion clinics. We organize the technology into three layers. The application layer is the software billers and managers use. The machine-learning layer decides what should happen to a claim: which encounter to work, the expected recovery, the recommended action. The automation layer, the one this case is about and the one you would own, executes those decisions reliably against a messy external world of payer APIs, web portals, clearinghouses, faxes, phone trees, and documents.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exercise is a scaled-down, fully synthetic version of that job. We are not testing whether you know billing vocabulary or can draw an architecture diagram. We are testing whether you can build a durable, auditable execution system that behaves correctly when the outside world misbehaves: duplicates, timeouts, partial completion, stale state, ambiguous payer responses, and the moment a machine should stop and hand off to a human.</w:t>
      </w:r>
    </w:p>
    <w:bookmarkStart w:colFirst="0" w:colLast="0" w:name="oytde2oheajn" w:id="1"/>
    <w:bookmarkEnd w:id="1"/>
    <w:p w:rsidR="00000000" w:rsidDel="00000000" w:rsidP="00000000" w:rsidRDefault="00000000" w:rsidRPr="00000000" w14:paraId="00000007">
      <w:pPr>
        <w:pStyle w:val="Heading1"/>
        <w:rPr/>
      </w:pPr>
      <w:r w:rsidDel="00000000" w:rsidR="00000000" w:rsidRPr="00000000">
        <w:rPr>
          <w:rtl w:val="0"/>
        </w:rPr>
        <w:t xml:space="preserve">2. The system you build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Build a payer-action automation engine. It consumes a queue of structured work items produced by the upstream intelligence layer. Each work item names an encounter, a payer, a recommended action, identifiers, a deadline, an idempotency key, and any supporting artifacts. Your engine must execute or coordinate that action through the provided mock channels, drive each work item through a well-defined state machine, survive the failures we inject, escalate to a human when appropriate, and emit a complete audit trail plus a run summary.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do not need real payer credentials, browser automation, faxes, or a phone line. We provide deterministic mock connectors that simulate the external world, including its failures. You build the engine that drives them.</w:t>
      </w:r>
    </w:p>
    <w:bookmarkStart w:colFirst="0" w:colLast="0" w:name="qvfnadh9wuj5" w:id="2"/>
    <w:bookmarkEnd w:id="2"/>
    <w:p w:rsidR="00000000" w:rsidDel="00000000" w:rsidP="00000000" w:rsidRDefault="00000000" w:rsidRPr="00000000" w14:paraId="0000000A">
      <w:pPr>
        <w:pStyle w:val="Heading2"/>
        <w:rPr/>
      </w:pPr>
      <w:r w:rsidDel="00000000" w:rsidR="00000000" w:rsidRPr="00000000">
        <w:rPr>
          <w:rtl w:val="0"/>
        </w:rPr>
        <w:t xml:space="preserve">Required states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work item moves through and ends in one of these states. Define the transitions, timeouts, and resumption rules: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queued, in_progress, awaiting_external_response, retry_scheduled, needs_human_review, warm_handoff_ready, completed, permanently_failed, cancelled_or_superseded</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terminal dispositions are the last five. A bounded run may legitimately end with items still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awaiting_external_response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retry_scheduled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dk9evf74sor4" w:id="3"/>
    <w:bookmarkEnd w:id="3"/>
    <w:p w:rsidR="00000000" w:rsidDel="00000000" w:rsidP="00000000" w:rsidRDefault="00000000" w:rsidRPr="00000000" w14:paraId="0000000E">
      <w:pPr>
        <w:pStyle w:val="Heading1"/>
        <w:rPr/>
      </w:pPr>
      <w:r w:rsidDel="00000000" w:rsidR="00000000" w:rsidRPr="00000000">
        <w:rPr>
          <w:rtl w:val="0"/>
        </w:rPr>
        <w:t xml:space="preserve">3. What is in the starter kit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 you spend your time on the engine, not on fixtures,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starter_kit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folder gives you the data and the mocked external world:</w:t>
      </w:r>
    </w:p>
    <w:tbl>
      <w:tblPr>
        <w:tblStyle w:val="Table1"/>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File</w:t>
            </w:r>
          </w:p>
        </w:tc>
        <w:tc>
          <w:tcPr>
            <w:tcBorders>
              <w:bottom w:color="000000" w:space="0" w:sz="0" w:val="nil"/>
            </w:tcBorders>
            <w:vAlign w:val="bottom"/>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it is</w:t>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CONTRACT.md</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Read this first. The precise contract: the fixed clock, batch-reconcile rule, action-to-channel map, connector signatures, the two ledgers, the output schemas, and the no-hardcoding rule.</w:t>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work_items.jsonl</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About three dozen work items across five action types, with idempotency keys, deadlines, artifacts, tenant ids, source, and version/timestamp fields. Some are deliberately duplicated, superseded, blocked on a missing artifact, or share an encounter. Scenario tags are opaque.</w:t>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payer_capability_matrix.csv, action_channel_map.csv</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Which payers support which channels (api 276/277, portal, fax, ivr, clearinghouse) with throttle limits and quirks, and which channels are valid for each action. Not every payer supports every channel.</w:t>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mock_connectors.py</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Reference mock connectors. Deterministic: an opaque scenario id plus the attempt number you pass drive the responses. Idempotency is tenant-scoped; the API status channel is genuinely rate limited;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submission_status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lets you verify an ambiguous submit. They write two append-only ledgers.</w:t>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scenarios.json, runner_stub.py, domain_primer.md</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opaque response sequences, a tiny starting point to replace with your engine, and a five-minute primer. You do not need billing expertise.</w:t>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audit_event.schema.json, run_summary.schema.json (+ examples)</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required output shapes, so you are not penalized for field-name choices.</w:t>
            </w:r>
          </w:p>
        </w:tc>
      </w:tr>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validate_submission.py</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Optional self-check: validates your run_summary and audit log for coverage, unique ids, and schema/semantic consistency.</w:t>
            </w:r>
          </w:p>
        </w:tc>
      </w:tr>
    </w:tbl>
    <w:bookmarkStart w:colFirst="0" w:colLast="0" w:name="xwjov9loq0jf" w:id="4"/>
    <w:bookmarkEnd w:id="4"/>
    <w:p w:rsidR="00000000" w:rsidDel="00000000" w:rsidP="00000000" w:rsidRDefault="00000000" w:rsidRPr="00000000" w14:paraId="00000020">
      <w:pPr>
        <w:pStyle w:val="Heading1"/>
        <w:rPr/>
      </w:pPr>
      <w:r w:rsidDel="00000000" w:rsidR="00000000" w:rsidRPr="00000000">
        <w:rPr>
          <w:rtl w:val="0"/>
        </w:rPr>
        <w:t xml:space="preserve">4. The behaviors your engine must get right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are requirements, not hints about specific rows. The data contains concrete instances of each; finding and handling them is part of the exercise.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Batch reconciliation: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load and reconcile the whole batch before dispatch. A later item may supersede an earlier one; availability may be out of file order.</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Idempotency and duplicate prevention: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redelivered work item, a same-encounter second source, and a retry must not double-act. Idempotency is tenant-scoped, so the same key under two tenants is two real actions.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Ambiguity after a side effect: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submit can time out after the payer received it. Verify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submission_status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before resubmitting; never blindly resend.</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Restart-safe retries with backoff and pacing: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pace API status calls against the per-payer rate limit (pass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at_minute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rather than retrying into 429s.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Partial and unconfirmed outcomes: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 unconfirmed fax is not a success; a 277 pending is not terminal.</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Deadlines against the fixed clock: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 item already past due as of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case_as_of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must be flagged, not silently submitted.</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Escalation and the warm handoff: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judgement is needed, stop and hand to a human with enough context to act without redoing the work.</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Deterministic rules vs LLMs vs humans: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draw those boundaries sensibly; do not put a model where a rule belongs.</w:t>
      </w:r>
    </w:p>
    <w:bookmarkStart w:colFirst="0" w:colLast="0" w:name="oo8pno8vgcri" w:id="5"/>
    <w:bookmarkEnd w:id="5"/>
    <w:p w:rsidR="00000000" w:rsidDel="00000000" w:rsidP="00000000" w:rsidRDefault="00000000" w:rsidRPr="00000000" w14:paraId="0000002A">
      <w:pPr>
        <w:pStyle w:val="Heading1"/>
        <w:rPr/>
      </w:pPr>
      <w:r w:rsidDel="00000000" w:rsidR="00000000" w:rsidRPr="00000000">
        <w:rPr>
          <w:rtl w:val="0"/>
        </w:rPr>
        <w:t xml:space="preserve">5. What to hand back</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tl w:val="0"/>
        </w:rPr>
        <w:t xml:space="preserve">Your engine source, runnable with one documented command that accepts the kit and output directories, for example: python engine.py --kit &lt;kit_directory&gt; --out &lt;output_directory&gt;. We will run the same command against a second conforming kit without modifying your source code.</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audit_log.jsonl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matching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audit_event.schema.json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run_summary.json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matching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run_summary.schema.json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short README (a page is plenty): how to run it, the boundaries you drew, and what you would do next with more time.</w:t>
      </w:r>
    </w:p>
    <w:bookmarkStart w:colFirst="0" w:colLast="0" w:name="rk99ilvi4bym" w:id="6"/>
    <w:bookmarkEnd w:id="6"/>
    <w:p w:rsidR="00000000" w:rsidDel="00000000" w:rsidP="00000000" w:rsidRDefault="00000000" w:rsidRPr="00000000" w14:paraId="0000002E">
      <w:pPr>
        <w:pStyle w:val="Heading1"/>
        <w:rPr/>
      </w:pPr>
      <w:r w:rsidDel="00000000" w:rsidR="00000000" w:rsidRPr="00000000">
        <w:rPr>
          <w:rtl w:val="0"/>
        </w:rPr>
        <w:t xml:space="preserve">6. Ground rules</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not hardcode against specific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work_item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ids or the opaque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scenario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tag. We review for it and we run your engine against a second, hidden set.</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 the Python mocks as-is, or reimplement the documented contract in your language. We grade your engine, not the mocks.</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Keep it to the scope. A durable work store (even SQLite or a JSON file) beats an elaborate framework. In-memory-only state is a reliability red flag.</w:t>
      </w:r>
    </w:p>
    <w:bookmarkStart w:colFirst="0" w:colLast="0" w:name="pa3jtzo51r90" w:id="7"/>
    <w:bookmarkEnd w:id="7"/>
    <w:p w:rsidR="00000000" w:rsidDel="00000000" w:rsidP="00000000" w:rsidRDefault="00000000" w:rsidRPr="00000000" w14:paraId="00000032">
      <w:pPr>
        <w:pStyle w:val="Heading1"/>
        <w:rPr/>
      </w:pPr>
      <w:r w:rsidDel="00000000" w:rsidR="00000000" w:rsidRPr="00000000">
        <w:rPr>
          <w:rtl w:val="0"/>
        </w:rPr>
        <w:t xml:space="preserve">7. How we evaluate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 of the signal is reliability, not features: how the system handles duplicates, timeouts, partial completion, stale state, ambiguous responses, and the human handoff, with an audit trail that proves what happened. We read the two ledgers (no duplicate side effect; calls paced), compare your run_summary to our answer key, and spend the debrief on what your system does when the world breaks and on the boundaries you drew. Reasoning is weighted at least as heavily as the artifact.</w:t>
      </w:r>
    </w:p>
    <w:bookmarkStart w:colFirst="0" w:colLast="0" w:name="cioc6tvidg5o" w:id="8"/>
    <w:bookmarkEnd w:id="8"/>
    <w:p w:rsidR="00000000" w:rsidDel="00000000" w:rsidP="00000000" w:rsidRDefault="00000000" w:rsidRPr="00000000" w14:paraId="00000034">
      <w:pPr>
        <w:pStyle w:val="Heading1"/>
        <w:rPr/>
      </w:pPr>
      <w:r w:rsidDel="00000000" w:rsidR="00000000" w:rsidRPr="00000000">
        <w:rPr>
          <w:rtl w:val="0"/>
        </w:rPr>
        <w:t xml:space="preserve">8. The 4-hour core variant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are time-constrained, deliver the core and note what you skipped:</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Batch reconcile (supersede plus dedupe by key and by encounter+action).</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state machine over the nine states with restart-safe retries and pacing.</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Tenant-scoped idempotency and the ambiguous-submit verification.</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warm-handoff context bundle and the audit log plus run summary.</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may stub the portal and fax nuances and call them out in your README. We would rather see the reliability core done well than everything done shallowly.</w:t>
      </w:r>
    </w:p>
    <w:bookmarkStart w:colFirst="0" w:colLast="0" w:name="4wx7o55pbflg" w:id="9"/>
    <w:bookmarkEnd w:id="9"/>
    <w:p w:rsidR="00000000" w:rsidDel="00000000" w:rsidP="00000000" w:rsidRDefault="00000000" w:rsidRPr="00000000" w14:paraId="0000003B">
      <w:pPr>
        <w:pStyle w:val="Heading1"/>
        <w:rPr/>
      </w:pPr>
      <w:r w:rsidDel="00000000" w:rsidR="00000000" w:rsidRPr="00000000">
        <w:rPr>
          <w:rtl w:val="0"/>
        </w:rPr>
        <w:t xml:space="preserve">9. Getting started</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Read CONTRACT.md, skim domain_primer.md, and run python runner_stub.py to see the contract in action. Your final engine must accept explicit kit and output directories, for example: python engine.py --kit . --out ./output. The evaluator will replace `.` with another conforming kit directory when running the hidden evaluation set. Self-check with python validate_submission.py --kit . --out &lt;your_out&gt;.</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