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4E79"/>
          <w:sz w:val="44"/>
        </w:rPr>
        <w:t>Refined Methodology Paper</w:t>
      </w:r>
    </w:p>
    <w:p>
      <w:pPr>
        <w:jc w:val="center"/>
      </w:pPr>
      <w:r>
        <w:rPr>
          <w:b/>
          <w:sz w:val="30"/>
        </w:rPr>
        <w:t>Effect of Graphene Defects on Lithium Diffusion at a Silicon-Graphene Composite Anode Interface</w:t>
      </w:r>
    </w:p>
    <w:p>
      <w:pPr>
        <w:jc w:val="center"/>
      </w:pPr>
      <w:r>
        <w:rPr>
          <w:i/>
          <w:sz w:val="22"/>
        </w:rPr>
        <w:t>Molecular Dynamics Project Plan - Literature Anchors, Chosen Inputs, and Discovery Outputs</w:t>
      </w:r>
    </w:p>
    <w:p/>
    <w:tbl>
      <w:tblPr>
        <w:tblStyle w:val="TableGrid"/>
        <w:tblW w:type="auto" w:w="0"/>
        <w:tblLayout w:type="autofit"/>
        <w:tblLook w:firstColumn="1" w:firstRow="1" w:lastColumn="0" w:lastRow="0" w:noHBand="0" w:noVBand="1" w:val="04A0"/>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5184"/>
        <w:gridCol w:w="5184"/>
      </w:tblGrid>
      <w:tr>
        <w:tc>
          <w:tcPr>
            <w:tcW w:type="dxa" w:w="2304"/>
            <w:shd w:fill="D9EAF7"/>
            <w:vAlign w:val="top"/>
          </w:tcPr>
          <w:p>
            <w:pPr>
              <w:spacing w:after="0"/>
            </w:pPr>
            <w:r>
              <w:rPr>
                <w:b/>
                <w:sz w:val="16"/>
              </w:rPr>
            </w:r>
            <w:r>
              <w:rPr>
                <w:b/>
                <w:color w:val="FFFFFF"/>
                <w:sz w:val="16"/>
              </w:rPr>
              <w:t>Item</w:t>
            </w:r>
          </w:p>
        </w:tc>
        <w:tc>
          <w:tcPr>
            <w:tcW w:type="dxa" w:w="8208"/>
            <w:shd w:fill="D9EAF7"/>
            <w:vAlign w:val="top"/>
          </w:tcPr>
          <w:p>
            <w:pPr>
              <w:spacing w:after="0"/>
            </w:pPr>
            <w:r>
              <w:rPr>
                <w:b/>
                <w:sz w:val="16"/>
              </w:rPr>
            </w:r>
            <w:r>
              <w:rPr>
                <w:b/>
                <w:color w:val="FFFFFF"/>
                <w:sz w:val="16"/>
              </w:rPr>
              <w:t>Description</w:t>
            </w:r>
          </w:p>
        </w:tc>
      </w:tr>
      <w:tr>
        <w:tc>
          <w:tcPr>
            <w:tcW w:type="dxa" w:w="2304"/>
            <w:vAlign w:val="top"/>
          </w:tcPr>
          <w:p>
            <w:pPr>
              <w:spacing w:after="0"/>
            </w:pPr>
            <w:r>
              <w:rPr>
                <w:sz w:val="16"/>
              </w:rPr>
              <w:t>Project type</w:t>
            </w:r>
          </w:p>
        </w:tc>
        <w:tc>
          <w:tcPr>
            <w:tcW w:type="dxa" w:w="8208"/>
            <w:vAlign w:val="top"/>
          </w:tcPr>
          <w:p>
            <w:pPr>
              <w:spacing w:after="0"/>
            </w:pPr>
            <w:r>
              <w:rPr>
                <w:sz w:val="16"/>
              </w:rPr>
              <w:t>Computational molecular dynamics study</w:t>
            </w:r>
          </w:p>
        </w:tc>
      </w:tr>
      <w:tr>
        <w:tc>
          <w:tcPr>
            <w:tcW w:type="dxa" w:w="2304"/>
            <w:vAlign w:val="top"/>
          </w:tcPr>
          <w:p>
            <w:pPr>
              <w:spacing w:after="0"/>
            </w:pPr>
            <w:r>
              <w:rPr>
                <w:sz w:val="16"/>
              </w:rPr>
              <w:t>Primary comparison</w:t>
            </w:r>
          </w:p>
        </w:tc>
        <w:tc>
          <w:tcPr>
            <w:tcW w:type="dxa" w:w="8208"/>
            <w:vAlign w:val="top"/>
          </w:tcPr>
          <w:p>
            <w:pPr>
              <w:spacing w:after="0"/>
            </w:pPr>
            <w:r>
              <w:rPr>
                <w:sz w:val="16"/>
              </w:rPr>
              <w:t>Model A: Si slab + pristine graphene + Li vs. Model B: Si slab + vacancy-defective graphene + Li</w:t>
            </w:r>
          </w:p>
        </w:tc>
      </w:tr>
      <w:tr>
        <w:tc>
          <w:tcPr>
            <w:tcW w:type="dxa" w:w="2304"/>
            <w:vAlign w:val="top"/>
          </w:tcPr>
          <w:p>
            <w:pPr>
              <w:spacing w:after="0"/>
            </w:pPr>
            <w:r>
              <w:rPr>
                <w:sz w:val="16"/>
              </w:rPr>
              <w:t>Optional extension</w:t>
            </w:r>
          </w:p>
        </w:tc>
        <w:tc>
          <w:tcPr>
            <w:tcW w:type="dxa" w:w="8208"/>
            <w:vAlign w:val="top"/>
          </w:tcPr>
          <w:p>
            <w:pPr>
              <w:spacing w:after="0"/>
            </w:pPr>
            <w:r>
              <w:rPr>
                <w:sz w:val="16"/>
              </w:rPr>
              <w:t>Model C: Si slab + DV5-8-5 graphene + Li</w:t>
            </w:r>
          </w:p>
        </w:tc>
      </w:tr>
      <w:tr>
        <w:tc>
          <w:tcPr>
            <w:tcW w:type="dxa" w:w="2304"/>
            <w:vAlign w:val="top"/>
          </w:tcPr>
          <w:p>
            <w:pPr>
              <w:spacing w:after="0"/>
            </w:pPr>
            <w:r>
              <w:rPr>
                <w:sz w:val="16"/>
              </w:rPr>
              <w:t>Main output</w:t>
            </w:r>
          </w:p>
        </w:tc>
        <w:tc>
          <w:tcPr>
            <w:tcW w:type="dxa" w:w="8208"/>
            <w:vAlign w:val="top"/>
          </w:tcPr>
          <w:p>
            <w:pPr>
              <w:spacing w:after="0"/>
            </w:pPr>
            <w:r>
              <w:rPr>
                <w:sz w:val="16"/>
              </w:rPr>
              <w:t>Li mean squared displacement (MSD), diffusion coefficient, and defect/pristine diffusion ratio</w:t>
            </w:r>
          </w:p>
        </w:tc>
      </w:tr>
      <w:tr>
        <w:tc>
          <w:tcPr>
            <w:tcW w:type="dxa" w:w="2304"/>
            <w:vAlign w:val="top"/>
          </w:tcPr>
          <w:p>
            <w:pPr>
              <w:spacing w:after="0"/>
            </w:pPr>
            <w:r>
              <w:rPr>
                <w:sz w:val="16"/>
              </w:rPr>
              <w:t>Current status</w:t>
            </w:r>
          </w:p>
        </w:tc>
        <w:tc>
          <w:tcPr>
            <w:tcW w:type="dxa" w:w="8208"/>
            <w:vAlign w:val="top"/>
          </w:tcPr>
          <w:p>
            <w:pPr>
              <w:spacing w:after="0"/>
            </w:pPr>
            <w:r>
              <w:rPr>
                <w:sz w:val="16"/>
              </w:rPr>
              <w:t>Phase 1 complete; Phase 2 structure generation/visualization in progress</w:t>
            </w:r>
          </w:p>
        </w:tc>
      </w:tr>
      <w:tr>
        <w:tc>
          <w:tcPr>
            <w:tcW w:type="dxa" w:w="2304"/>
            <w:vAlign w:val="top"/>
          </w:tcPr>
          <w:p>
            <w:pPr>
              <w:spacing w:after="0"/>
            </w:pPr>
            <w:r>
              <w:rPr>
                <w:sz w:val="16"/>
              </w:rPr>
              <w:t>Important rule</w:t>
            </w:r>
          </w:p>
        </w:tc>
        <w:tc>
          <w:tcPr>
            <w:tcW w:type="dxa" w:w="8208"/>
            <w:vAlign w:val="top"/>
          </w:tcPr>
          <w:p>
            <w:pPr>
              <w:spacing w:after="0"/>
            </w:pPr>
            <w:r>
              <w:rPr>
                <w:sz w:val="16"/>
              </w:rPr>
              <w:t>Literature values are used as justified setup inputs; diffusion coefficients and fitting windows are discovered from this project.</w:t>
            </w:r>
          </w:p>
        </w:tc>
      </w:tr>
    </w:tbl>
    <w:p/>
    <w:tbl>
      <w:tblPr>
        <w:tblW w:type="auto" w:w="0"/>
        <w:tblLayout w:type="autofit"/>
        <w:tblLook w:firstColumn="1" w:firstRow="1" w:lastColumn="0" w:lastRow="0" w:noHBand="0" w:noVBand="1" w:val="04A0"/>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10368"/>
      </w:tblGrid>
      <w:tr>
        <w:tc>
          <w:tcPr>
            <w:tcW w:type="dxa" w:w="10368"/>
            <w:shd w:fill="D9EAF7"/>
            <w:vAlign w:val="top"/>
          </w:tcPr>
          <w:p>
            <w:r>
              <w:rPr>
                <w:b/>
                <w:sz w:val="16"/>
              </w:rPr>
              <w:t>Revision purpose: This refined version separates literature-backed input values from values that must be discovered by the project. Values taken from papers are listed with specific references. Values not yet tested remain marked as pending. Version 3 update: the uploaded PDFs were cross-checked; Gao et al. journal metadata was corrected, verified 2025 Si et al. values were inserted, and the ReaxFF timestep note was updated to include 0.5 fs MD and 0.1 fs tracer-diffusion precedent.</w:t>
            </w:r>
          </w:p>
        </w:tc>
      </w:tr>
    </w:tbl>
    <w:p/>
    <w:p>
      <w:r>
        <w:rPr>
          <w:sz w:val="21"/>
        </w:rPr>
        <w:br w:type="page"/>
      </w:r>
    </w:p>
    <w:p>
      <w:pPr>
        <w:pStyle w:val="Heading1"/>
      </w:pPr>
      <w:r>
        <w:rPr>
          <w:sz w:val="21"/>
        </w:rPr>
        <w:t>Abstract</w:t>
      </w:r>
    </w:p>
    <w:p>
      <w:r>
        <w:rPr>
          <w:sz w:val="21"/>
        </w:rPr>
        <w:t>This methodology paper defines a staged molecular dynamics workflow for studying lithium mobility at simplified silicon-graphene composite anode interfaces. The core comparison is between a pristine graphene interface and a vacancy-defective graphene interface while keeping the silicon slab, lithium loading, boundary conditions, force field, thermostat, and analysis workflow consistent. The main quantitative outputs will be the lithium mean squared displacement (MSD), the diffusion coefficient estimated from the linear MSD regime, and the ratio of defective-interface to pristine-interface diffusivity. This revision makes a strict distinction between literature-backed setup choices and values that must be generated or discovered by the present simulations. Literature sources support the use of Si-graphene or Si-C interface models, vacancy-type graphene defects, Li-Si-C ReaxFF as the production-force-field candidate, NVT molecular dynamics with femtosecond timesteps, elevated-temperature accelerated diffusion tests, and MSD-based diffusion analysis. Final claims must remain comparative because short high-temperature atomistic simulations do not directly predict room-temperature battery-cell performance.</w:t>
      </w:r>
    </w:p>
    <w:p>
      <w:pPr>
        <w:pStyle w:val="Heading1"/>
      </w:pPr>
      <w:r>
        <w:rPr>
          <w:sz w:val="21"/>
        </w:rPr>
        <w:t>Keywords</w:t>
      </w:r>
    </w:p>
    <w:p>
      <w:r>
        <w:rPr>
          <w:sz w:val="21"/>
        </w:rPr>
        <w:t>lithium diffusion; silicon anode; graphene defect; molecular dynamics; ReaxFF; LAMMPS; mean squared displacement; Si-C composite</w:t>
      </w:r>
    </w:p>
    <w:p>
      <w:pPr>
        <w:pStyle w:val="Heading1"/>
      </w:pPr>
      <w:r>
        <w:rPr>
          <w:sz w:val="21"/>
        </w:rPr>
        <w:t>1. Research Objective and Scope</w:t>
      </w:r>
    </w:p>
    <w:p>
      <w:r>
        <w:rPr>
          <w:sz w:val="21"/>
        </w:rPr>
        <w:t>Research question: How do graphene vacancy defects affect lithium diffusion in a simplified silicon-graphene composite anode interface model?</w:t>
      </w:r>
    </w:p>
    <w:p>
      <w:r>
        <w:rPr>
          <w:sz w:val="21"/>
        </w:rPr>
        <w:t>Working hypothesis: vacancy-defective graphene may increase lithium mobility by creating voids, channels, or penetration pathways at the Si-graphene interface. The methodology also checks whether a defect improves transport at the cost of structural stability.</w:t>
      </w:r>
    </w:p>
    <w:p>
      <w:r>
        <w:rPr>
          <w:sz w:val="21"/>
        </w:rPr>
        <w:t>The project does not model a full battery cell. It isolates an atomistic interface and compares relative Li mobility trends under a common MD protocol. Electrolyte, binder, SEI formation, current collectors, electrochemical cycling, and full electrode microstructure are outside the current scope.</w:t>
      </w:r>
    </w:p>
    <w:tbl>
      <w:tblPr>
        <w:tblStyle w:val="TableGrid"/>
        <w:tblW w:type="auto" w:w="0"/>
        <w:tblLayout w:type="autofit"/>
        <w:tblLook w:firstColumn="1" w:firstRow="1" w:lastColumn="0" w:lastRow="0" w:noHBand="0" w:noVBand="1" w:val="04A0"/>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2592"/>
        <w:gridCol w:w="2592"/>
        <w:gridCol w:w="2592"/>
        <w:gridCol w:w="2592"/>
      </w:tblGrid>
      <w:tr>
        <w:tc>
          <w:tcPr>
            <w:tcW w:type="dxa" w:w="1440"/>
            <w:shd w:fill="D9EAF7"/>
            <w:vAlign w:val="top"/>
          </w:tcPr>
          <w:p>
            <w:pPr>
              <w:spacing w:after="0"/>
            </w:pPr>
            <w:r>
              <w:rPr>
                <w:b/>
                <w:sz w:val="16"/>
              </w:rPr>
            </w:r>
            <w:r>
              <w:rPr>
                <w:b/>
                <w:color w:val="FFFFFF"/>
                <w:sz w:val="16"/>
              </w:rPr>
              <w:t>Model</w:t>
            </w:r>
          </w:p>
        </w:tc>
        <w:tc>
          <w:tcPr>
            <w:tcW w:type="dxa" w:w="3456"/>
            <w:shd w:fill="D9EAF7"/>
            <w:vAlign w:val="top"/>
          </w:tcPr>
          <w:p>
            <w:pPr>
              <w:spacing w:after="0"/>
            </w:pPr>
            <w:r>
              <w:rPr>
                <w:b/>
                <w:sz w:val="16"/>
              </w:rPr>
            </w:r>
            <w:r>
              <w:rPr>
                <w:b/>
                <w:color w:val="FFFFFF"/>
                <w:sz w:val="16"/>
              </w:rPr>
              <w:t>Structure</w:t>
            </w:r>
          </w:p>
        </w:tc>
        <w:tc>
          <w:tcPr>
            <w:tcW w:type="dxa" w:w="3744"/>
            <w:shd w:fill="D9EAF7"/>
            <w:vAlign w:val="top"/>
          </w:tcPr>
          <w:p>
            <w:pPr>
              <w:spacing w:after="0"/>
            </w:pPr>
            <w:r>
              <w:rPr>
                <w:b/>
                <w:sz w:val="16"/>
              </w:rPr>
            </w:r>
            <w:r>
              <w:rPr>
                <w:b/>
                <w:color w:val="FFFFFF"/>
                <w:sz w:val="16"/>
              </w:rPr>
              <w:t>Purpose</w:t>
            </w:r>
          </w:p>
        </w:tc>
        <w:tc>
          <w:tcPr>
            <w:tcW w:type="dxa" w:w="1584"/>
            <w:shd w:fill="D9EAF7"/>
            <w:vAlign w:val="top"/>
          </w:tcPr>
          <w:p>
            <w:pPr>
              <w:spacing w:after="0"/>
            </w:pPr>
            <w:r>
              <w:rPr>
                <w:b/>
                <w:sz w:val="16"/>
              </w:rPr>
            </w:r>
            <w:r>
              <w:rPr>
                <w:b/>
                <w:color w:val="FFFFFF"/>
                <w:sz w:val="16"/>
              </w:rPr>
              <w:t>Status</w:t>
            </w:r>
          </w:p>
        </w:tc>
      </w:tr>
      <w:tr>
        <w:tc>
          <w:tcPr>
            <w:tcW w:type="dxa" w:w="1440"/>
            <w:vAlign w:val="top"/>
          </w:tcPr>
          <w:p>
            <w:pPr>
              <w:spacing w:after="0"/>
            </w:pPr>
            <w:r>
              <w:rPr>
                <w:sz w:val="16"/>
              </w:rPr>
              <w:t>Phase 2 test</w:t>
            </w:r>
          </w:p>
        </w:tc>
        <w:tc>
          <w:tcPr>
            <w:tcW w:type="dxa" w:w="3456"/>
            <w:vAlign w:val="top"/>
          </w:tcPr>
          <w:p>
            <w:pPr>
              <w:spacing w:after="0"/>
            </w:pPr>
            <w:r>
              <w:rPr>
                <w:sz w:val="16"/>
              </w:rPr>
              <w:t>Graphene + Li</w:t>
            </w:r>
          </w:p>
        </w:tc>
        <w:tc>
          <w:tcPr>
            <w:tcW w:type="dxa" w:w="3744"/>
            <w:vAlign w:val="top"/>
          </w:tcPr>
          <w:p>
            <w:pPr>
              <w:spacing w:after="0"/>
            </w:pPr>
            <w:r>
              <w:rPr>
                <w:sz w:val="16"/>
              </w:rPr>
              <w:t>Validate structure generation and visualization</w:t>
            </w:r>
          </w:p>
        </w:tc>
        <w:tc>
          <w:tcPr>
            <w:tcW w:type="dxa" w:w="1584"/>
            <w:vAlign w:val="top"/>
          </w:tcPr>
          <w:p>
            <w:pPr>
              <w:spacing w:after="0"/>
            </w:pPr>
            <w:r>
              <w:rPr>
                <w:sz w:val="16"/>
              </w:rPr>
              <w:t>Current</w:t>
            </w:r>
          </w:p>
        </w:tc>
      </w:tr>
      <w:tr>
        <w:tc>
          <w:tcPr>
            <w:tcW w:type="dxa" w:w="1440"/>
            <w:vAlign w:val="top"/>
          </w:tcPr>
          <w:p>
            <w:pPr>
              <w:spacing w:after="0"/>
            </w:pPr>
            <w:r>
              <w:rPr>
                <w:sz w:val="16"/>
              </w:rPr>
              <w:t>Model A</w:t>
            </w:r>
          </w:p>
        </w:tc>
        <w:tc>
          <w:tcPr>
            <w:tcW w:type="dxa" w:w="3456"/>
            <w:vAlign w:val="top"/>
          </w:tcPr>
          <w:p>
            <w:pPr>
              <w:spacing w:after="0"/>
            </w:pPr>
            <w:r>
              <w:rPr>
                <w:sz w:val="16"/>
              </w:rPr>
              <w:t>Si slab + pristine graphene + Li</w:t>
            </w:r>
          </w:p>
        </w:tc>
        <w:tc>
          <w:tcPr>
            <w:tcW w:type="dxa" w:w="3744"/>
            <w:vAlign w:val="top"/>
          </w:tcPr>
          <w:p>
            <w:pPr>
              <w:spacing w:after="0"/>
            </w:pPr>
            <w:r>
              <w:rPr>
                <w:sz w:val="16"/>
              </w:rPr>
              <w:t>Baseline interface</w:t>
            </w:r>
          </w:p>
        </w:tc>
        <w:tc>
          <w:tcPr>
            <w:tcW w:type="dxa" w:w="1584"/>
            <w:vAlign w:val="top"/>
          </w:tcPr>
          <w:p>
            <w:pPr>
              <w:spacing w:after="0"/>
            </w:pPr>
            <w:r>
              <w:rPr>
                <w:sz w:val="16"/>
              </w:rPr>
              <w:t>Planned</w:t>
            </w:r>
          </w:p>
        </w:tc>
      </w:tr>
      <w:tr>
        <w:tc>
          <w:tcPr>
            <w:tcW w:type="dxa" w:w="1440"/>
            <w:vAlign w:val="top"/>
          </w:tcPr>
          <w:p>
            <w:pPr>
              <w:spacing w:after="0"/>
            </w:pPr>
            <w:r>
              <w:rPr>
                <w:sz w:val="16"/>
              </w:rPr>
              <w:t>Model B</w:t>
            </w:r>
          </w:p>
        </w:tc>
        <w:tc>
          <w:tcPr>
            <w:tcW w:type="dxa" w:w="3456"/>
            <w:vAlign w:val="top"/>
          </w:tcPr>
          <w:p>
            <w:pPr>
              <w:spacing w:after="0"/>
            </w:pPr>
            <w:r>
              <w:rPr>
                <w:sz w:val="16"/>
              </w:rPr>
              <w:t>Si slab + single-vacancy graphene + Li</w:t>
            </w:r>
          </w:p>
        </w:tc>
        <w:tc>
          <w:tcPr>
            <w:tcW w:type="dxa" w:w="3744"/>
            <w:vAlign w:val="top"/>
          </w:tcPr>
          <w:p>
            <w:pPr>
              <w:spacing w:after="0"/>
            </w:pPr>
            <w:r>
              <w:rPr>
                <w:sz w:val="16"/>
              </w:rPr>
              <w:t>Primary defect comparison</w:t>
            </w:r>
          </w:p>
        </w:tc>
        <w:tc>
          <w:tcPr>
            <w:tcW w:type="dxa" w:w="1584"/>
            <w:vAlign w:val="top"/>
          </w:tcPr>
          <w:p>
            <w:pPr>
              <w:spacing w:after="0"/>
            </w:pPr>
            <w:r>
              <w:rPr>
                <w:sz w:val="16"/>
              </w:rPr>
              <w:t>Planned</w:t>
            </w:r>
          </w:p>
        </w:tc>
      </w:tr>
      <w:tr>
        <w:tc>
          <w:tcPr>
            <w:tcW w:type="dxa" w:w="1440"/>
            <w:vAlign w:val="top"/>
          </w:tcPr>
          <w:p>
            <w:pPr>
              <w:spacing w:after="0"/>
            </w:pPr>
            <w:r>
              <w:rPr>
                <w:sz w:val="16"/>
              </w:rPr>
              <w:t>Model C</w:t>
            </w:r>
          </w:p>
        </w:tc>
        <w:tc>
          <w:tcPr>
            <w:tcW w:type="dxa" w:w="3456"/>
            <w:vAlign w:val="top"/>
          </w:tcPr>
          <w:p>
            <w:pPr>
              <w:spacing w:after="0"/>
            </w:pPr>
            <w:r>
              <w:rPr>
                <w:sz w:val="16"/>
              </w:rPr>
              <w:t>Si slab + DV5-8-5 graphene + Li</w:t>
            </w:r>
          </w:p>
        </w:tc>
        <w:tc>
          <w:tcPr>
            <w:tcW w:type="dxa" w:w="3744"/>
            <w:vAlign w:val="top"/>
          </w:tcPr>
          <w:p>
            <w:pPr>
              <w:spacing w:after="0"/>
            </w:pPr>
            <w:r>
              <w:rPr>
                <w:sz w:val="16"/>
              </w:rPr>
              <w:t>Optional publication-level extension</w:t>
            </w:r>
          </w:p>
        </w:tc>
        <w:tc>
          <w:tcPr>
            <w:tcW w:type="dxa" w:w="1584"/>
            <w:vAlign w:val="top"/>
          </w:tcPr>
          <w:p>
            <w:pPr>
              <w:spacing w:after="0"/>
            </w:pPr>
            <w:r>
              <w:rPr>
                <w:sz w:val="16"/>
              </w:rPr>
              <w:t>Optional</w:t>
            </w:r>
          </w:p>
        </w:tc>
      </w:tr>
    </w:tbl>
    <w:p/>
    <w:p>
      <w:pPr>
        <w:pStyle w:val="Heading1"/>
      </w:pPr>
      <w:r>
        <w:rPr>
          <w:sz w:val="21"/>
        </w:rPr>
        <w:t>2. Value Provenance: What Comes from Literature vs. What the Project Discovers</w:t>
      </w:r>
    </w:p>
    <w:p>
      <w:r>
        <w:rPr>
          <w:sz w:val="21"/>
        </w:rPr>
        <w:t>The table below is the central control table for this methodology. It prevents accidental mixing of literature inputs with project results.</w:t>
      </w:r>
    </w:p>
    <w:tbl>
      <w:tblPr>
        <w:tblStyle w:val="TableGrid"/>
        <w:tblW w:type="auto" w:w="0"/>
        <w:tblLayout w:type="autofit"/>
        <w:tblLook w:firstColumn="1" w:firstRow="1" w:lastColumn="0" w:lastRow="0" w:noHBand="0" w:noVBand="1" w:val="04A0"/>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2074"/>
        <w:gridCol w:w="2074"/>
        <w:gridCol w:w="2074"/>
        <w:gridCol w:w="2074"/>
        <w:gridCol w:w="2074"/>
      </w:tblGrid>
      <w:tr>
        <w:tc>
          <w:tcPr>
            <w:tcW w:type="dxa" w:w="1800"/>
            <w:shd w:fill="D9EAF7"/>
            <w:vAlign w:val="top"/>
          </w:tcPr>
          <w:p>
            <w:pPr>
              <w:spacing w:after="0"/>
            </w:pPr>
            <w:r>
              <w:rPr>
                <w:b/>
                <w:sz w:val="16"/>
              </w:rPr>
            </w:r>
            <w:r>
              <w:rPr>
                <w:b/>
                <w:color w:val="FFFFFF"/>
                <w:sz w:val="16"/>
              </w:rPr>
              <w:t>Parameter</w:t>
            </w:r>
          </w:p>
        </w:tc>
        <w:tc>
          <w:tcPr>
            <w:tcW w:type="dxa" w:w="1872"/>
            <w:shd w:fill="D9EAF7"/>
            <w:vAlign w:val="top"/>
          </w:tcPr>
          <w:p>
            <w:pPr>
              <w:spacing w:after="0"/>
            </w:pPr>
            <w:r>
              <w:rPr>
                <w:b/>
                <w:sz w:val="16"/>
              </w:rPr>
            </w:r>
            <w:r>
              <w:rPr>
                <w:b/>
                <w:color w:val="FFFFFF"/>
                <w:sz w:val="16"/>
              </w:rPr>
              <w:t>Category</w:t>
            </w:r>
          </w:p>
        </w:tc>
        <w:tc>
          <w:tcPr>
            <w:tcW w:type="dxa" w:w="2880"/>
            <w:shd w:fill="D9EAF7"/>
            <w:vAlign w:val="top"/>
          </w:tcPr>
          <w:p>
            <w:pPr>
              <w:spacing w:after="0"/>
            </w:pPr>
            <w:r>
              <w:rPr>
                <w:b/>
                <w:sz w:val="16"/>
              </w:rPr>
            </w:r>
            <w:r>
              <w:rPr>
                <w:b/>
                <w:color w:val="FFFFFF"/>
                <w:sz w:val="16"/>
              </w:rPr>
              <w:t>Chosen/planned value</w:t>
            </w:r>
          </w:p>
        </w:tc>
        <w:tc>
          <w:tcPr>
            <w:tcW w:type="dxa" w:w="3168"/>
            <w:shd w:fill="D9EAF7"/>
            <w:vAlign w:val="top"/>
          </w:tcPr>
          <w:p>
            <w:pPr>
              <w:spacing w:after="0"/>
            </w:pPr>
            <w:r>
              <w:rPr>
                <w:b/>
                <w:sz w:val="16"/>
              </w:rPr>
            </w:r>
            <w:r>
              <w:rPr>
                <w:b/>
                <w:color w:val="FFFFFF"/>
                <w:sz w:val="16"/>
              </w:rPr>
              <w:t>Reference basis</w:t>
            </w:r>
          </w:p>
        </w:tc>
        <w:tc>
          <w:tcPr>
            <w:tcW w:type="dxa" w:w="1440"/>
            <w:shd w:fill="D9EAF7"/>
            <w:vAlign w:val="top"/>
          </w:tcPr>
          <w:p>
            <w:pPr>
              <w:spacing w:after="0"/>
            </w:pPr>
            <w:r>
              <w:rPr>
                <w:b/>
                <w:sz w:val="16"/>
              </w:rPr>
            </w:r>
            <w:r>
              <w:rPr>
                <w:b/>
                <w:color w:val="FFFFFF"/>
                <w:sz w:val="16"/>
              </w:rPr>
              <w:t>Status</w:t>
            </w:r>
          </w:p>
        </w:tc>
      </w:tr>
      <w:tr>
        <w:tc>
          <w:tcPr>
            <w:tcW w:type="dxa" w:w="1800"/>
            <w:vAlign w:val="top"/>
          </w:tcPr>
          <w:p>
            <w:pPr>
              <w:spacing w:after="0"/>
            </w:pPr>
            <w:r>
              <w:rPr>
                <w:sz w:val="16"/>
              </w:rPr>
              <w:t>Main comparison</w:t>
            </w:r>
          </w:p>
        </w:tc>
        <w:tc>
          <w:tcPr>
            <w:tcW w:type="dxa" w:w="1872"/>
            <w:vAlign w:val="top"/>
          </w:tcPr>
          <w:p>
            <w:pPr>
              <w:spacing w:after="0"/>
            </w:pPr>
            <w:r>
              <w:rPr>
                <w:sz w:val="16"/>
              </w:rPr>
              <w:t>Chosen project design supported by literature</w:t>
            </w:r>
          </w:p>
        </w:tc>
        <w:tc>
          <w:tcPr>
            <w:tcW w:type="dxa" w:w="2880"/>
            <w:vAlign w:val="top"/>
          </w:tcPr>
          <w:p>
            <w:pPr>
              <w:spacing w:after="0"/>
            </w:pPr>
            <w:r>
              <w:rPr>
                <w:sz w:val="16"/>
              </w:rPr>
              <w:t>Model A vs. Model B: pristine graphene interface vs. single-vacancy graphene interface</w:t>
            </w:r>
          </w:p>
        </w:tc>
        <w:tc>
          <w:tcPr>
            <w:tcW w:type="dxa" w:w="3168"/>
            <w:vAlign w:val="top"/>
          </w:tcPr>
          <w:p>
            <w:r>
              <w:rPr>
                <w:sz w:val="16"/>
              </w:rPr>
              <w:t>Current project scope; direct finite-temperature pristine/SV/DV5-8-5 comparison from Si et al. [9]; defect rationale from Qin et al. [2]</w:t>
            </w:r>
          </w:p>
        </w:tc>
        <w:tc>
          <w:tcPr>
            <w:tcW w:type="dxa" w:w="1440"/>
            <w:vAlign w:val="top"/>
          </w:tcPr>
          <w:p>
            <w:pPr>
              <w:spacing w:after="0"/>
            </w:pPr>
            <w:r>
              <w:rPr>
                <w:sz w:val="16"/>
              </w:rPr>
              <w:t>Locked for minimum project</w:t>
            </w:r>
          </w:p>
        </w:tc>
      </w:tr>
      <w:tr>
        <w:tc>
          <w:tcPr>
            <w:tcW w:type="dxa" w:w="1800"/>
            <w:vAlign w:val="top"/>
          </w:tcPr>
          <w:p>
            <w:pPr>
              <w:spacing w:after="0"/>
            </w:pPr>
            <w:r>
              <w:rPr>
                <w:sz w:val="16"/>
              </w:rPr>
              <w:t>Optional defect</w:t>
            </w:r>
          </w:p>
        </w:tc>
        <w:tc>
          <w:tcPr>
            <w:tcW w:type="dxa" w:w="1872"/>
            <w:vAlign w:val="top"/>
          </w:tcPr>
          <w:p>
            <w:pPr>
              <w:spacing w:after="0"/>
            </w:pPr>
            <w:r>
              <w:rPr>
                <w:sz w:val="16"/>
              </w:rPr>
              <w:t>Literature-backed extension</w:t>
            </w:r>
          </w:p>
        </w:tc>
        <w:tc>
          <w:tcPr>
            <w:tcW w:type="dxa" w:w="2880"/>
            <w:vAlign w:val="top"/>
          </w:tcPr>
          <w:p>
            <w:pPr>
              <w:spacing w:after="0"/>
            </w:pPr>
            <w:r>
              <w:rPr>
                <w:sz w:val="16"/>
              </w:rPr>
              <w:t>DV5-8-5 graphene defect</w:t>
            </w:r>
          </w:p>
        </w:tc>
        <w:tc>
          <w:tcPr>
            <w:tcW w:type="dxa" w:w="3168"/>
            <w:vAlign w:val="top"/>
          </w:tcPr>
          <w:p>
            <w:r>
              <w:rPr>
                <w:sz w:val="16"/>
              </w:rPr>
              <w:t>Qin et al. identified DV5-8-5 as a structurally balanced defect option; Si et al. directly compared Si/DV5-8-5 with Si/p-Gr and Si/SV [2,9]</w:t>
            </w:r>
          </w:p>
        </w:tc>
        <w:tc>
          <w:tcPr>
            <w:tcW w:type="dxa" w:w="1440"/>
            <w:vAlign w:val="top"/>
          </w:tcPr>
          <w:p>
            <w:pPr>
              <w:spacing w:after="0"/>
            </w:pPr>
            <w:r>
              <w:rPr>
                <w:sz w:val="16"/>
              </w:rPr>
              <w:t>Optional Model C</w:t>
            </w:r>
          </w:p>
        </w:tc>
      </w:tr>
      <w:tr>
        <w:tc>
          <w:tcPr>
            <w:tcW w:type="dxa" w:w="1800"/>
            <w:vAlign w:val="top"/>
          </w:tcPr>
          <w:p>
            <w:pPr>
              <w:spacing w:after="0"/>
            </w:pPr>
            <w:r>
              <w:rPr>
                <w:sz w:val="16"/>
              </w:rPr>
              <w:t>Force field</w:t>
            </w:r>
          </w:p>
        </w:tc>
        <w:tc>
          <w:tcPr>
            <w:tcW w:type="dxa" w:w="1872"/>
            <w:vAlign w:val="top"/>
          </w:tcPr>
          <w:p>
            <w:pPr>
              <w:spacing w:after="0"/>
            </w:pPr>
            <w:r>
              <w:rPr>
                <w:sz w:val="16"/>
              </w:rPr>
              <w:t>Literature-backed input</w:t>
            </w:r>
          </w:p>
        </w:tc>
        <w:tc>
          <w:tcPr>
            <w:tcW w:type="dxa" w:w="2880"/>
            <w:vAlign w:val="top"/>
          </w:tcPr>
          <w:p>
            <w:pPr>
              <w:spacing w:after="0"/>
            </w:pPr>
            <w:r>
              <w:rPr>
                <w:sz w:val="16"/>
              </w:rPr>
              <w:t>Li-Si-C ReaxFF from Olou'ou Guifo et al. 2023</w:t>
            </w:r>
          </w:p>
        </w:tc>
        <w:tc>
          <w:tcPr>
            <w:tcW w:type="dxa" w:w="3168"/>
            <w:vAlign w:val="top"/>
          </w:tcPr>
          <w:p>
            <w:pPr>
              <w:spacing w:after="0"/>
            </w:pPr>
            <w:r>
              <w:rPr>
                <w:sz w:val="16"/>
              </w:rPr>
              <w:t>Developed for Si-C anode chemistry including Li, Si, sp2-C, SiC, and interfaces [4]</w:t>
            </w:r>
          </w:p>
        </w:tc>
        <w:tc>
          <w:tcPr>
            <w:tcW w:type="dxa" w:w="1440"/>
            <w:vAlign w:val="top"/>
          </w:tcPr>
          <w:p>
            <w:pPr>
              <w:spacing w:after="0"/>
            </w:pPr>
            <w:r>
              <w:rPr>
                <w:sz w:val="16"/>
              </w:rPr>
              <w:t>Exact parameter file/source still must be recorded</w:t>
            </w:r>
          </w:p>
        </w:tc>
      </w:tr>
      <w:tr>
        <w:tc>
          <w:tcPr>
            <w:tcW w:type="dxa" w:w="1800"/>
            <w:vAlign w:val="top"/>
          </w:tcPr>
          <w:p>
            <w:pPr>
              <w:spacing w:after="0"/>
            </w:pPr>
            <w:r>
              <w:rPr>
                <w:sz w:val="16"/>
              </w:rPr>
              <w:t>Ensemble</w:t>
            </w:r>
          </w:p>
        </w:tc>
        <w:tc>
          <w:tcPr>
            <w:tcW w:type="dxa" w:w="1872"/>
            <w:vAlign w:val="top"/>
          </w:tcPr>
          <w:p>
            <w:pPr>
              <w:spacing w:after="0"/>
            </w:pPr>
            <w:r>
              <w:rPr>
                <w:sz w:val="16"/>
              </w:rPr>
              <w:t>Literature-backed input</w:t>
            </w:r>
          </w:p>
        </w:tc>
        <w:tc>
          <w:tcPr>
            <w:tcW w:type="dxa" w:w="2880"/>
            <w:vAlign w:val="top"/>
          </w:tcPr>
          <w:p>
            <w:pPr>
              <w:spacing w:after="0"/>
            </w:pPr>
            <w:r>
              <w:rPr>
                <w:sz w:val="16"/>
              </w:rPr>
              <w:t>NVT for equilibration and production diffusion tests</w:t>
            </w:r>
          </w:p>
        </w:tc>
        <w:tc>
          <w:tcPr>
            <w:tcW w:type="dxa" w:w="3168"/>
            <w:vAlign w:val="top"/>
          </w:tcPr>
          <w:p>
            <w:pPr>
              <w:spacing w:after="0"/>
            </w:pPr>
            <w:r>
              <w:rPr>
                <w:sz w:val="16"/>
              </w:rPr>
              <w:t>Used in Chou and Hwang [1], Gao et al. [3], and Lashani Zand et al. [5]</w:t>
            </w:r>
          </w:p>
        </w:tc>
        <w:tc>
          <w:tcPr>
            <w:tcW w:type="dxa" w:w="1440"/>
            <w:vAlign w:val="top"/>
          </w:tcPr>
          <w:p>
            <w:pPr>
              <w:spacing w:after="0"/>
            </w:pPr>
            <w:r>
              <w:rPr>
                <w:sz w:val="16"/>
              </w:rPr>
              <w:t>Candidate final choice</w:t>
            </w:r>
          </w:p>
        </w:tc>
      </w:tr>
      <w:tr>
        <w:tc>
          <w:tcPr>
            <w:tcW w:type="dxa" w:w="1800"/>
            <w:vAlign w:val="top"/>
          </w:tcPr>
          <w:p>
            <w:pPr>
              <w:spacing w:after="0"/>
            </w:pPr>
            <w:r>
              <w:rPr>
                <w:sz w:val="16"/>
              </w:rPr>
              <w:t>Temperature</w:t>
            </w:r>
          </w:p>
        </w:tc>
        <w:tc>
          <w:tcPr>
            <w:tcW w:type="dxa" w:w="1872"/>
            <w:vAlign w:val="top"/>
          </w:tcPr>
          <w:p>
            <w:pPr>
              <w:spacing w:after="0"/>
            </w:pPr>
            <w:r>
              <w:rPr>
                <w:sz w:val="16"/>
              </w:rPr>
              <w:t>Literature-backed candidate</w:t>
            </w:r>
          </w:p>
        </w:tc>
        <w:tc>
          <w:tcPr>
            <w:tcW w:type="dxa" w:w="2880"/>
            <w:vAlign w:val="top"/>
          </w:tcPr>
          <w:p>
            <w:pPr>
              <w:spacing w:after="0"/>
            </w:pPr>
            <w:r>
              <w:rPr>
                <w:sz w:val="16"/>
              </w:rPr>
              <w:t>800 K and/or 1200 K accelerated tests</w:t>
            </w:r>
          </w:p>
        </w:tc>
        <w:tc>
          <w:tcPr>
            <w:tcW w:type="dxa" w:w="3168"/>
            <w:vAlign w:val="top"/>
          </w:tcPr>
          <w:p>
            <w:r>
              <w:rPr>
                <w:sz w:val="16"/>
              </w:rPr>
              <w:t>Chou and Hwang used 800 K; Gao, Lashani Zand, and Si et al. used 1200 K [1,3,5,9]</w:t>
            </w:r>
          </w:p>
        </w:tc>
        <w:tc>
          <w:tcPr>
            <w:tcW w:type="dxa" w:w="1440"/>
            <w:vAlign w:val="top"/>
          </w:tcPr>
          <w:p>
            <w:pPr>
              <w:spacing w:after="0"/>
            </w:pPr>
            <w:r>
              <w:rPr>
                <w:sz w:val="16"/>
              </w:rPr>
              <w:t>Choose after stability tests</w:t>
            </w:r>
          </w:p>
        </w:tc>
      </w:tr>
      <w:tr>
        <w:tc>
          <w:tcPr>
            <w:tcW w:type="dxa" w:w="1800"/>
            <w:vAlign w:val="top"/>
          </w:tcPr>
          <w:p>
            <w:pPr>
              <w:spacing w:after="0"/>
            </w:pPr>
            <w:r>
              <w:rPr>
                <w:sz w:val="16"/>
              </w:rPr>
              <w:t>Timestep</w:t>
            </w:r>
          </w:p>
        </w:tc>
        <w:tc>
          <w:tcPr>
            <w:tcW w:type="dxa" w:w="1872"/>
            <w:vAlign w:val="top"/>
          </w:tcPr>
          <w:p>
            <w:pPr>
              <w:spacing w:after="0"/>
            </w:pPr>
            <w:r>
              <w:rPr>
                <w:sz w:val="16"/>
              </w:rPr>
              <w:t>Literature-backed candidate + stability test</w:t>
            </w:r>
          </w:p>
        </w:tc>
        <w:tc>
          <w:tcPr>
            <w:tcW w:type="dxa" w:w="2880"/>
            <w:vAlign w:val="top"/>
          </w:tcPr>
          <w:p>
            <w:r>
              <w:rPr>
                <w:sz w:val="16"/>
              </w:rPr>
              <w:t>Start ReaxFF testing at 0.5 fs; test 0.25, 0.5, and 1.0 fs if needed; do not copy the 3 fs AIMD timestep directly into ReaxFF</w:t>
            </w:r>
          </w:p>
        </w:tc>
        <w:tc>
          <w:tcPr>
            <w:tcW w:type="dxa" w:w="3168"/>
            <w:vAlign w:val="top"/>
          </w:tcPr>
          <w:p>
            <w:r>
              <w:rPr>
                <w:sz w:val="16"/>
              </w:rPr>
              <w:t>1 fs used in Chou, Gao, and Lashani Zand; Si et al. used 3 fs AIMD; Olou'ou Guifo used 0.5 fs ReaxFF MD and 0.1 fs for tracer diffusion [1,3,4,5,9]</w:t>
            </w:r>
          </w:p>
        </w:tc>
        <w:tc>
          <w:tcPr>
            <w:tcW w:type="dxa" w:w="1440"/>
            <w:vAlign w:val="top"/>
          </w:tcPr>
          <w:p>
            <w:pPr>
              <w:spacing w:after="0"/>
            </w:pPr>
            <w:r>
              <w:rPr>
                <w:sz w:val="16"/>
              </w:rPr>
              <w:t>Final stable value discovered by short runs</w:t>
            </w:r>
          </w:p>
        </w:tc>
      </w:tr>
      <w:tr>
        <w:tc>
          <w:tcPr>
            <w:tcW w:type="dxa" w:w="1800"/>
            <w:vAlign w:val="top"/>
          </w:tcPr>
          <w:p>
            <w:pPr>
              <w:spacing w:after="0"/>
            </w:pPr>
            <w:r>
              <w:rPr>
                <w:sz w:val="16"/>
              </w:rPr>
              <w:t>Graphene lattice</w:t>
            </w:r>
          </w:p>
        </w:tc>
        <w:tc>
          <w:tcPr>
            <w:tcW w:type="dxa" w:w="1872"/>
            <w:vAlign w:val="top"/>
          </w:tcPr>
          <w:p>
            <w:pPr>
              <w:spacing w:after="0"/>
            </w:pPr>
            <w:r>
              <w:rPr>
                <w:sz w:val="16"/>
              </w:rPr>
              <w:t>Literature-backed reference</w:t>
            </w:r>
          </w:p>
        </w:tc>
        <w:tc>
          <w:tcPr>
            <w:tcW w:type="dxa" w:w="2880"/>
            <w:vAlign w:val="top"/>
          </w:tcPr>
          <w:p>
            <w:pPr>
              <w:spacing w:after="0"/>
            </w:pPr>
            <w:r>
              <w:rPr>
                <w:sz w:val="16"/>
              </w:rPr>
              <w:t>2.467 A graphene lattice constant; experimental value ~2.46 A</w:t>
            </w:r>
          </w:p>
        </w:tc>
        <w:tc>
          <w:tcPr>
            <w:tcW w:type="dxa" w:w="3168"/>
            <w:vAlign w:val="top"/>
          </w:tcPr>
          <w:p>
            <w:pPr>
              <w:spacing w:after="0"/>
            </w:pPr>
            <w:r>
              <w:rPr>
                <w:sz w:val="16"/>
              </w:rPr>
              <w:t>Chou and Hwang [1]</w:t>
            </w:r>
          </w:p>
        </w:tc>
        <w:tc>
          <w:tcPr>
            <w:tcW w:type="dxa" w:w="1440"/>
            <w:vAlign w:val="top"/>
          </w:tcPr>
          <w:p>
            <w:pPr>
              <w:spacing w:after="0"/>
            </w:pPr>
            <w:r>
              <w:rPr>
                <w:sz w:val="16"/>
              </w:rPr>
              <w:t>ASE value should be checked/documented</w:t>
            </w:r>
          </w:p>
        </w:tc>
      </w:tr>
      <w:tr>
        <w:tc>
          <w:tcPr>
            <w:tcW w:type="dxa" w:w="1800"/>
            <w:vAlign w:val="top"/>
          </w:tcPr>
          <w:p>
            <w:pPr>
              <w:spacing w:after="0"/>
            </w:pPr>
            <w:r>
              <w:rPr>
                <w:sz w:val="16"/>
              </w:rPr>
              <w:t>Si/graphene starting separation</w:t>
            </w:r>
          </w:p>
        </w:tc>
        <w:tc>
          <w:tcPr>
            <w:tcW w:type="dxa" w:w="1872"/>
            <w:vAlign w:val="top"/>
          </w:tcPr>
          <w:p>
            <w:pPr>
              <w:spacing w:after="0"/>
            </w:pPr>
            <w:r>
              <w:rPr>
                <w:sz w:val="16"/>
              </w:rPr>
              <w:t>Literature-backed starting geometry</w:t>
            </w:r>
          </w:p>
        </w:tc>
        <w:tc>
          <w:tcPr>
            <w:tcW w:type="dxa" w:w="2880"/>
            <w:vAlign w:val="top"/>
          </w:tcPr>
          <w:p>
            <w:pPr>
              <w:spacing w:after="0"/>
            </w:pPr>
            <w:r>
              <w:rPr>
                <w:sz w:val="16"/>
              </w:rPr>
              <w:t>Approx. 2 A initial separation before relaxation</w:t>
            </w:r>
          </w:p>
        </w:tc>
        <w:tc>
          <w:tcPr>
            <w:tcW w:type="dxa" w:w="3168"/>
            <w:vAlign w:val="top"/>
          </w:tcPr>
          <w:p>
            <w:pPr>
              <w:spacing w:after="0"/>
            </w:pPr>
            <w:r>
              <w:rPr>
                <w:sz w:val="16"/>
              </w:rPr>
              <w:t>Chou and Hwang placed a-LixSi and graphene approx. 2 A apart before relaxation [1]</w:t>
            </w:r>
          </w:p>
        </w:tc>
        <w:tc>
          <w:tcPr>
            <w:tcW w:type="dxa" w:w="1440"/>
            <w:vAlign w:val="top"/>
          </w:tcPr>
          <w:p>
            <w:pPr>
              <w:spacing w:after="0"/>
            </w:pPr>
            <w:r>
              <w:rPr>
                <w:sz w:val="16"/>
              </w:rPr>
              <w:t>Final spacing discovered after minimization</w:t>
            </w:r>
          </w:p>
        </w:tc>
      </w:tr>
      <w:tr>
        <w:tc>
          <w:tcPr>
            <w:tcW w:type="dxa" w:w="1800"/>
            <w:vAlign w:val="top"/>
          </w:tcPr>
          <w:p>
            <w:pPr>
              <w:spacing w:after="0"/>
            </w:pPr>
            <w:r>
              <w:rPr>
                <w:sz w:val="16"/>
              </w:rPr>
              <w:t>Slab/vacuum</w:t>
            </w:r>
          </w:p>
        </w:tc>
        <w:tc>
          <w:tcPr>
            <w:tcW w:type="dxa" w:w="1872"/>
            <w:vAlign w:val="top"/>
          </w:tcPr>
          <w:p>
            <w:pPr>
              <w:spacing w:after="0"/>
            </w:pPr>
            <w:r>
              <w:rPr>
                <w:sz w:val="16"/>
              </w:rPr>
              <w:t>Literature-backed starting geometry</w:t>
            </w:r>
          </w:p>
        </w:tc>
        <w:tc>
          <w:tcPr>
            <w:tcW w:type="dxa" w:w="2880"/>
            <w:vAlign w:val="top"/>
          </w:tcPr>
          <w:p>
            <w:pPr>
              <w:spacing w:after="0"/>
            </w:pPr>
            <w:r>
              <w:rPr>
                <w:sz w:val="16"/>
              </w:rPr>
              <w:t>18-20 A vacuum if periodic z is retained for slab tests</w:t>
            </w:r>
          </w:p>
        </w:tc>
        <w:tc>
          <w:tcPr>
            <w:tcW w:type="dxa" w:w="3168"/>
            <w:vAlign w:val="top"/>
          </w:tcPr>
          <w:p>
            <w:pPr>
              <w:spacing w:after="0"/>
            </w:pPr>
            <w:r>
              <w:rPr>
                <w:sz w:val="16"/>
              </w:rPr>
              <w:t>Qin et al. used 20 A for graphene and 18 A for Gr/Si [2]</w:t>
            </w:r>
          </w:p>
        </w:tc>
        <w:tc>
          <w:tcPr>
            <w:tcW w:type="dxa" w:w="1440"/>
            <w:vAlign w:val="top"/>
          </w:tcPr>
          <w:p>
            <w:pPr>
              <w:spacing w:after="0"/>
            </w:pPr>
            <w:r>
              <w:rPr>
                <w:sz w:val="16"/>
              </w:rPr>
              <w:t>Final box checked in OVITO/minimization</w:t>
            </w:r>
          </w:p>
        </w:tc>
      </w:tr>
      <w:tr>
        <w:tc>
          <w:tcPr>
            <w:tcW w:type="dxa" w:w="1800"/>
            <w:vAlign w:val="top"/>
          </w:tcPr>
          <w:p>
            <w:pPr>
              <w:spacing w:after="0"/>
            </w:pPr>
            <w:r>
              <w:rPr>
                <w:sz w:val="16"/>
              </w:rPr>
              <w:t>MSD method</w:t>
            </w:r>
          </w:p>
        </w:tc>
        <w:tc>
          <w:tcPr>
            <w:tcW w:type="dxa" w:w="1872"/>
            <w:vAlign w:val="top"/>
          </w:tcPr>
          <w:p>
            <w:pPr>
              <w:spacing w:after="0"/>
            </w:pPr>
            <w:r>
              <w:rPr>
                <w:sz w:val="16"/>
              </w:rPr>
              <w:t>Literature-backed analysis</w:t>
            </w:r>
          </w:p>
        </w:tc>
        <w:tc>
          <w:tcPr>
            <w:tcW w:type="dxa" w:w="2880"/>
            <w:vAlign w:val="top"/>
          </w:tcPr>
          <w:p>
            <w:pPr>
              <w:spacing w:after="0"/>
            </w:pPr>
            <w:r>
              <w:rPr>
                <w:sz w:val="16"/>
              </w:rPr>
              <w:t>Fit the linear MSD regime; use 3D, 2D in-plane, or direction-resolved MSD as appropriate</w:t>
            </w:r>
          </w:p>
        </w:tc>
        <w:tc>
          <w:tcPr>
            <w:tcW w:type="dxa" w:w="3168"/>
            <w:vAlign w:val="top"/>
          </w:tcPr>
          <w:p>
            <w:pPr>
              <w:spacing w:after="0"/>
            </w:pPr>
            <w:r>
              <w:rPr>
                <w:sz w:val="16"/>
              </w:rPr>
              <w:t>Chou and Hwang used n=6 for 3D and n=4 for 2D diffusion; LAMMPS compute msd reports dx2, dy2, dz2, and total MSD [1,8]</w:t>
            </w:r>
          </w:p>
        </w:tc>
        <w:tc>
          <w:tcPr>
            <w:tcW w:type="dxa" w:w="1440"/>
            <w:vAlign w:val="top"/>
          </w:tcPr>
          <w:p>
            <w:pPr>
              <w:spacing w:after="0"/>
            </w:pPr>
            <w:r>
              <w:rPr>
                <w:sz w:val="16"/>
              </w:rPr>
              <w:t>Fitting window discovered from project data</w:t>
            </w:r>
          </w:p>
        </w:tc>
      </w:tr>
      <w:tr>
        <w:tc>
          <w:tcPr>
            <w:tcW w:type="dxa" w:w="1800"/>
            <w:vAlign w:val="top"/>
          </w:tcPr>
          <w:p>
            <w:pPr>
              <w:spacing w:after="0"/>
            </w:pPr>
            <w:r>
              <w:rPr>
                <w:sz w:val="16"/>
              </w:rPr>
              <w:t>Diffusion coefficients</w:t>
            </w:r>
          </w:p>
        </w:tc>
        <w:tc>
          <w:tcPr>
            <w:tcW w:type="dxa" w:w="1872"/>
            <w:vAlign w:val="top"/>
          </w:tcPr>
          <w:p>
            <w:pPr>
              <w:spacing w:after="0"/>
            </w:pPr>
            <w:r>
              <w:rPr>
                <w:sz w:val="16"/>
              </w:rPr>
              <w:t>Project-discovered result</w:t>
            </w:r>
          </w:p>
        </w:tc>
        <w:tc>
          <w:tcPr>
            <w:tcW w:type="dxa" w:w="2880"/>
            <w:vAlign w:val="top"/>
          </w:tcPr>
          <w:p>
            <w:r>
              <w:rPr>
                <w:sz w:val="16"/>
              </w:rPr>
              <w:t>Project results: D_A, D_B, D_B/D_A, and uncertainty; literature comparators include Si et al. 2025 values for Si/p-Gr, Si/SV, and Si/DV5-8-5</w:t>
            </w:r>
          </w:p>
        </w:tc>
        <w:tc>
          <w:tcPr>
            <w:tcW w:type="dxa" w:w="3168"/>
            <w:vAlign w:val="top"/>
          </w:tcPr>
          <w:p>
            <w:r>
              <w:rPr>
                <w:sz w:val="16"/>
              </w:rPr>
              <w:t>Your final values come from this project; Si et al. reports 1.88e-4, 2.32e-4, and 2.47e-4 cm2/s at 1200 K for Si/p-Gr, Si/SV, and Si/DV5-8-5 [9]</w:t>
            </w:r>
          </w:p>
        </w:tc>
        <w:tc>
          <w:tcPr>
            <w:tcW w:type="dxa" w:w="1440"/>
            <w:vAlign w:val="top"/>
          </w:tcPr>
          <w:p>
            <w:pPr>
              <w:spacing w:after="0"/>
            </w:pPr>
            <w:r>
              <w:rPr>
                <w:sz w:val="16"/>
              </w:rPr>
              <w:t>Pending</w:t>
            </w:r>
          </w:p>
        </w:tc>
      </w:tr>
    </w:tbl>
    <w:p/>
    <w:p>
      <w:pPr>
        <w:pStyle w:val="Heading1"/>
      </w:pPr>
      <w:r>
        <w:rPr>
          <w:sz w:val="21"/>
        </w:rPr>
        <w:t>3. Literature-Backed Methodological Inputs</w:t>
      </w:r>
    </w:p>
    <w:p>
      <w:r>
        <w:rPr>
          <w:sz w:val="21"/>
        </w:rPr>
        <w:t>This section lists exact values verified from the literature and how they will be used. These values are not project discoveries; they are setup anchors or justification points.</w:t>
      </w:r>
    </w:p>
    <w:tbl>
      <w:tblPr>
        <w:tblStyle w:val="TableGrid"/>
        <w:tblW w:type="auto" w:w="0"/>
        <w:tblLayout w:type="autofit"/>
        <w:tblLook w:firstColumn="1" w:firstRow="1" w:lastColumn="0" w:lastRow="0" w:noHBand="0" w:noVBand="1" w:val="04A0"/>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2592"/>
        <w:gridCol w:w="2592"/>
        <w:gridCol w:w="2592"/>
        <w:gridCol w:w="2592"/>
      </w:tblGrid>
      <w:tr>
        <w:tc>
          <w:tcPr>
            <w:tcW w:type="dxa" w:w="1728"/>
            <w:shd w:fill="D9EAF7"/>
            <w:vAlign w:val="top"/>
          </w:tcPr>
          <w:p>
            <w:pPr>
              <w:spacing w:after="0"/>
            </w:pPr>
            <w:r>
              <w:rPr>
                <w:b/>
                <w:sz w:val="16"/>
              </w:rPr>
            </w:r>
            <w:r>
              <w:rPr>
                <w:b/>
                <w:color w:val="FFFFFF"/>
                <w:sz w:val="16"/>
              </w:rPr>
              <w:t>Reference</w:t>
            </w:r>
          </w:p>
        </w:tc>
        <w:tc>
          <w:tcPr>
            <w:tcW w:type="dxa" w:w="1728"/>
            <w:shd w:fill="D9EAF7"/>
            <w:vAlign w:val="top"/>
          </w:tcPr>
          <w:p>
            <w:pPr>
              <w:spacing w:after="0"/>
            </w:pPr>
            <w:r>
              <w:rPr>
                <w:b/>
                <w:sz w:val="16"/>
              </w:rPr>
            </w:r>
            <w:r>
              <w:rPr>
                <w:b/>
                <w:color w:val="FFFFFF"/>
                <w:sz w:val="16"/>
              </w:rPr>
              <w:t>Role</w:t>
            </w:r>
          </w:p>
        </w:tc>
        <w:tc>
          <w:tcPr>
            <w:tcW w:type="dxa" w:w="4752"/>
            <w:shd w:fill="D9EAF7"/>
            <w:vAlign w:val="top"/>
          </w:tcPr>
          <w:p>
            <w:pPr>
              <w:spacing w:after="0"/>
            </w:pPr>
            <w:r>
              <w:rPr>
                <w:b/>
                <w:sz w:val="16"/>
              </w:rPr>
            </w:r>
            <w:r>
              <w:rPr>
                <w:b/>
                <w:color w:val="FFFFFF"/>
                <w:sz w:val="16"/>
              </w:rPr>
              <w:t>Verified values</w:t>
            </w:r>
          </w:p>
        </w:tc>
        <w:tc>
          <w:tcPr>
            <w:tcW w:type="dxa" w:w="2592"/>
            <w:shd w:fill="D9EAF7"/>
            <w:vAlign w:val="top"/>
          </w:tcPr>
          <w:p>
            <w:pPr>
              <w:spacing w:after="0"/>
            </w:pPr>
            <w:r>
              <w:rPr>
                <w:b/>
                <w:sz w:val="16"/>
              </w:rPr>
            </w:r>
            <w:r>
              <w:rPr>
                <w:b/>
                <w:color w:val="FFFFFF"/>
                <w:sz w:val="16"/>
              </w:rPr>
              <w:t>How used in this project</w:t>
            </w:r>
          </w:p>
        </w:tc>
      </w:tr>
      <w:tr>
        <w:tc>
          <w:tcPr>
            <w:tcW w:type="dxa" w:w="1728"/>
            <w:vAlign w:val="top"/>
          </w:tcPr>
          <w:p>
            <w:pPr>
              <w:spacing w:after="0"/>
            </w:pPr>
            <w:r>
              <w:rPr>
                <w:sz w:val="16"/>
              </w:rPr>
              <w:t>Chou &amp; Hwang 2013</w:t>
            </w:r>
          </w:p>
        </w:tc>
        <w:tc>
          <w:tcPr>
            <w:tcW w:type="dxa" w:w="1728"/>
            <w:vAlign w:val="top"/>
          </w:tcPr>
          <w:p>
            <w:pPr>
              <w:spacing w:after="0"/>
            </w:pPr>
            <w:r>
              <w:rPr>
                <w:sz w:val="16"/>
              </w:rPr>
              <w:t>Si-graphene interface baseline</w:t>
            </w:r>
          </w:p>
        </w:tc>
        <w:tc>
          <w:tcPr>
            <w:tcW w:type="dxa" w:w="4752"/>
            <w:vAlign w:val="top"/>
          </w:tcPr>
          <w:p>
            <w:pPr>
              <w:spacing w:after="0"/>
            </w:pPr>
            <w:r>
              <w:rPr>
                <w:sz w:val="16"/>
              </w:rPr>
              <w:t>Graphene lattice constant 2.467 A; 48-C rectangular graphene sheet of 12.8187 x 9.8680 A2; a-LixSi/graphene placed approx. 2 A apart before relaxation; 500 K anneal for 1 ps; 1 fs timestep; 18 ps AIMD at 800 K; Nose-Hoover thermostat; 3 samples; D_Li near graphene = (4.74 +/- 0.60)e-5 cm2/s vs bulk a-Li1.0Si = (1.02 +/- 0.40)e-5 cm2/s; Li motion near graphene was mainly 2D/interface-parallel.</w:t>
            </w:r>
          </w:p>
        </w:tc>
        <w:tc>
          <w:tcPr>
            <w:tcW w:type="dxa" w:w="2592"/>
            <w:vAlign w:val="top"/>
          </w:tcPr>
          <w:p>
            <w:pPr>
              <w:spacing w:after="0"/>
            </w:pPr>
            <w:r>
              <w:rPr>
                <w:sz w:val="16"/>
              </w:rPr>
              <w:t>Use as the main Si-graphene interface precedent; motivates checking in-plane vs z-direction MSD.</w:t>
            </w:r>
          </w:p>
        </w:tc>
      </w:tr>
      <w:tr>
        <w:tc>
          <w:tcPr>
            <w:tcW w:type="dxa" w:w="1728"/>
            <w:vAlign w:val="top"/>
          </w:tcPr>
          <w:p>
            <w:pPr>
              <w:spacing w:after="0"/>
            </w:pPr>
            <w:r>
              <w:rPr>
                <w:sz w:val="16"/>
              </w:rPr>
              <w:t>Qin et al. 2021</w:t>
            </w:r>
          </w:p>
        </w:tc>
        <w:tc>
          <w:tcPr>
            <w:tcW w:type="dxa" w:w="1728"/>
            <w:vAlign w:val="top"/>
          </w:tcPr>
          <w:p>
            <w:pPr>
              <w:spacing w:after="0"/>
            </w:pPr>
            <w:r>
              <w:rPr>
                <w:sz w:val="16"/>
              </w:rPr>
              <w:t>Defect model and slab geometry precedent</w:t>
            </w:r>
          </w:p>
        </w:tc>
        <w:tc>
          <w:tcPr>
            <w:tcW w:type="dxa" w:w="4752"/>
            <w:vAlign w:val="top"/>
          </w:tcPr>
          <w:p>
            <w:pPr>
              <w:spacing w:after="0"/>
            </w:pPr>
            <w:r>
              <w:rPr>
                <w:sz w:val="16"/>
              </w:rPr>
              <w:t>6 x 6 graphene supercell; defect set p-Gr, SV, DV5-8-5, DV555-777; 4 x 4 Si(111) slab with two double atomic layers; bottom dangling bonds passivated with H; bottom H and Si fixed; Si-Si adjusted approx. 4% for mismatch; vacuum 20 A for graphene and 18 A for Gr/Si. DV5-8-5 monolayer barrier = 1.406 eV, ~6.153 eV lower than p-Gr. SV/Si barrier = 0.587 eV but caused strong deformation. DV5-8-5/Si was judged more structurally balanced.</w:t>
            </w:r>
          </w:p>
        </w:tc>
        <w:tc>
          <w:tcPr>
            <w:tcW w:type="dxa" w:w="2592"/>
            <w:vAlign w:val="top"/>
          </w:tcPr>
          <w:p>
            <w:pPr>
              <w:spacing w:after="0"/>
            </w:pPr>
            <w:r>
              <w:rPr>
                <w:sz w:val="16"/>
              </w:rPr>
              <w:t>Use for defect selection and optional Model C; use Si(111) if matching the defect-benchmark geometry.</w:t>
            </w:r>
          </w:p>
        </w:tc>
      </w:tr>
      <w:tr>
        <w:tc>
          <w:tcPr>
            <w:tcW w:type="dxa" w:w="1728"/>
            <w:vAlign w:val="top"/>
          </w:tcPr>
          <w:p>
            <w:pPr>
              <w:spacing w:after="0"/>
            </w:pPr>
            <w:r>
              <w:rPr>
                <w:sz w:val="16"/>
              </w:rPr>
              <w:t>Gao et al. 2021</w:t>
            </w:r>
          </w:p>
        </w:tc>
        <w:tc>
          <w:tcPr>
            <w:tcW w:type="dxa" w:w="1728"/>
            <w:vAlign w:val="top"/>
          </w:tcPr>
          <w:p>
            <w:pPr>
              <w:spacing w:after="0"/>
            </w:pPr>
            <w:r>
              <w:rPr>
                <w:sz w:val="16"/>
              </w:rPr>
              <w:t>Si/C AIMD protocol and MSD fitting precedent</w:t>
            </w:r>
          </w:p>
        </w:tc>
        <w:tc>
          <w:tcPr>
            <w:tcW w:type="dxa" w:w="4752"/>
            <w:vAlign w:val="top"/>
          </w:tcPr>
          <w:p>
            <w:pPr>
              <w:spacing w:after="0"/>
            </w:pPr>
            <w:r>
              <w:rPr>
                <w:sz w:val="16"/>
              </w:rPr>
              <w:t>NVT at 1200 K; 1 fs timestep; Nose-Hoover thermostat; geometry relaxation to force &lt;0.01 eV/A and energy change &lt;1e-4 eV/atom; 25 ps mixture-mode and 60 ps core-shell AIMD; C layer thicknesses 2, 3, and 4 A; MSD fits selected after mixing: t &gt;14 ps for mixture and t &gt;45 ps for core-shell, with noisy final points omitted. D_bulk c-Si = 7.75e-5 cm2/s; Si/C mixture values = 2.097e-4, 2.028e-4, 2.003e-4 cm2/s for 2, 3, 4 A layers.</w:t>
            </w:r>
          </w:p>
        </w:tc>
        <w:tc>
          <w:tcPr>
            <w:tcW w:type="dxa" w:w="2592"/>
            <w:vAlign w:val="top"/>
          </w:tcPr>
          <w:p>
            <w:pPr>
              <w:spacing w:after="0"/>
            </w:pPr>
            <w:r>
              <w:rPr>
                <w:sz w:val="16"/>
              </w:rPr>
              <w:t>Use as a protocol anchor for high-temperature accelerated diffusion and fitting-window justification.</w:t>
            </w:r>
          </w:p>
        </w:tc>
      </w:tr>
      <w:tr>
        <w:tc>
          <w:tcPr>
            <w:tcW w:type="dxa" w:w="1728"/>
            <w:vAlign w:val="top"/>
          </w:tcPr>
          <w:p>
            <w:pPr>
              <w:spacing w:after="0"/>
            </w:pPr>
            <w:r>
              <w:rPr>
                <w:sz w:val="16"/>
              </w:rPr>
              <w:t>Olou'ou Guifo et al. 2023</w:t>
            </w:r>
          </w:p>
        </w:tc>
        <w:tc>
          <w:tcPr>
            <w:tcW w:type="dxa" w:w="1728"/>
            <w:vAlign w:val="top"/>
          </w:tcPr>
          <w:p>
            <w:pPr>
              <w:spacing w:after="0"/>
            </w:pPr>
            <w:r>
              <w:rPr>
                <w:sz w:val="16"/>
              </w:rPr>
              <w:t>Production force-field candidate</w:t>
            </w:r>
          </w:p>
        </w:tc>
        <w:tc>
          <w:tcPr>
            <w:tcW w:type="dxa" w:w="4752"/>
            <w:vAlign w:val="top"/>
          </w:tcPr>
          <w:p>
            <w:r>
              <w:rPr>
                <w:sz w:val="16"/>
              </w:rPr>
              <w:t>J. Phys. Chem. C 127(6), 2818-2834; DOI 10.1021/acs.jpcc.2c07773. The paper reports a Li-Si-C ReaxFF parameterization for Si-C composite anodes, including Si, graphitic/sp2 carbon, SiC, interfacial motifs, lithiation, and swelling behavior. Its ReaxFF-MD applications used a 0.5 fs Verlet timestep for trajectories and 0.1 fs for tracer diffusion coefficient calculations.</w:t>
            </w:r>
          </w:p>
        </w:tc>
        <w:tc>
          <w:tcPr>
            <w:tcW w:type="dxa" w:w="2592"/>
            <w:vAlign w:val="top"/>
          </w:tcPr>
          <w:p>
            <w:r>
              <w:rPr>
                <w:sz w:val="16"/>
              </w:rPr>
              <w:t>Use as primary production ReaxFF candidate; record exact parameter file and atom mapping before Phase 3. Use 0.5 fs as the first ReaxFF timestep test, and reduce toward 0.1 fs if tracer diffusion or energy stability requires it.</w:t>
            </w:r>
          </w:p>
        </w:tc>
      </w:tr>
      <w:tr>
        <w:tc>
          <w:tcPr>
            <w:tcW w:type="dxa" w:w="1728"/>
            <w:vAlign w:val="top"/>
          </w:tcPr>
          <w:p>
            <w:pPr>
              <w:spacing w:after="0"/>
            </w:pPr>
            <w:r>
              <w:rPr>
                <w:sz w:val="16"/>
              </w:rPr>
              <w:t>Lashani Zand et al. 2023</w:t>
            </w:r>
          </w:p>
        </w:tc>
        <w:tc>
          <w:tcPr>
            <w:tcW w:type="dxa" w:w="1728"/>
            <w:vAlign w:val="top"/>
          </w:tcPr>
          <w:p>
            <w:pPr>
              <w:spacing w:after="0"/>
            </w:pPr>
            <w:r>
              <w:rPr>
                <w:sz w:val="16"/>
              </w:rPr>
              <w:t>High-temperature NVT/MSD comparator</w:t>
            </w:r>
          </w:p>
        </w:tc>
        <w:tc>
          <w:tcPr>
            <w:tcW w:type="dxa" w:w="4752"/>
            <w:vAlign w:val="top"/>
          </w:tcPr>
          <w:p>
            <w:pPr>
              <w:spacing w:after="0"/>
            </w:pPr>
            <w:r>
              <w:rPr>
                <w:sz w:val="16"/>
              </w:rPr>
              <w:t>NVT AIMD at 1200 K, 1 fs timestep, Nose-Hoover thermostat. MSD linear fitting between 15 and 22 ps to avoid initial transients. D at 1200 K: pristine Si(100) 7.82e-5, Si/C(100) 1.57e-4, Si/C3N4(100) 3.17e-4 cm2/s; similar values reported for Si(110) and Si(111).</w:t>
            </w:r>
          </w:p>
        </w:tc>
        <w:tc>
          <w:tcPr>
            <w:tcW w:type="dxa" w:w="2592"/>
            <w:vAlign w:val="top"/>
          </w:tcPr>
          <w:p>
            <w:pPr>
              <w:spacing w:after="0"/>
            </w:pPr>
            <w:r>
              <w:rPr>
                <w:sz w:val="16"/>
              </w:rPr>
              <w:t>Use as an additional Si/C interface comparator and a clear example of explicit MSD fitting-window reporting.</w:t>
            </w:r>
          </w:p>
        </w:tc>
      </w:tr>
      <w:tr>
        <w:tc>
          <w:tcPr>
            <w:tcW w:type="dxa" w:w="1728"/>
            <w:vAlign w:val="top"/>
          </w:tcPr>
          <w:p>
            <w:pPr>
              <w:spacing w:after="0"/>
            </w:pPr>
            <w:r>
              <w:rPr>
                <w:sz w:val="16"/>
              </w:rPr>
              <w:t>LAMMPS documentation</w:t>
            </w:r>
          </w:p>
        </w:tc>
        <w:tc>
          <w:tcPr>
            <w:tcW w:type="dxa" w:w="1728"/>
            <w:vAlign w:val="top"/>
          </w:tcPr>
          <w:p>
            <w:pPr>
              <w:spacing w:after="0"/>
            </w:pPr>
            <w:r>
              <w:rPr>
                <w:sz w:val="16"/>
              </w:rPr>
              <w:t>Implementation constraint</w:t>
            </w:r>
          </w:p>
        </w:tc>
        <w:tc>
          <w:tcPr>
            <w:tcW w:type="dxa" w:w="4752"/>
            <w:vAlign w:val="top"/>
          </w:tcPr>
          <w:p>
            <w:pPr>
              <w:spacing w:after="0"/>
            </w:pPr>
            <w:r>
              <w:rPr>
                <w:sz w:val="16"/>
              </w:rPr>
              <w:t>pair_style reaxff requires atom_style with per-atom charges and, by default, a charge-equilibration fix such as fix qeq/reaxff. fix qeq/reaxff example uses Nevery=1, cutoffs 0.0 and 10.0, tolerance 1.0e-6. compute msd outputs dx2, dy2, dz2, and total MSD; the MSD slope is proportional to diffusion coefficient.</w:t>
            </w:r>
          </w:p>
        </w:tc>
        <w:tc>
          <w:tcPr>
            <w:tcW w:type="dxa" w:w="2592"/>
            <w:vAlign w:val="top"/>
          </w:tcPr>
          <w:p>
            <w:pPr>
              <w:spacing w:after="0"/>
            </w:pPr>
            <w:r>
              <w:rPr>
                <w:sz w:val="16"/>
              </w:rPr>
              <w:t>Use for LAMMPS input-script requirements and analysis implementation.</w:t>
            </w:r>
          </w:p>
        </w:tc>
      </w:tr>
      <w:tr>
        <w:tc>
          <w:tcPr>
            <w:tcW w:type="dxa" w:w="2592"/>
            <w:vAlign w:val="top"/>
          </w:tcPr>
          <w:p>
            <w:r>
              <w:rPr>
                <w:sz w:val="16"/>
              </w:rPr>
              <w:t>Si et al. 2025</w:t>
            </w:r>
          </w:p>
        </w:tc>
        <w:tc>
          <w:tcPr>
            <w:tcW w:type="dxa" w:w="2592"/>
            <w:vAlign w:val="top"/>
          </w:tcPr>
          <w:p>
            <w:r>
              <w:rPr>
                <w:sz w:val="16"/>
              </w:rPr>
              <w:t>Direct defective-graphene AIMD comparator</w:t>
            </w:r>
          </w:p>
        </w:tc>
        <w:tc>
          <w:tcPr>
            <w:tcW w:type="dxa" w:w="2592"/>
            <w:vAlign w:val="top"/>
          </w:tcPr>
          <w:p>
            <w:r>
              <w:rPr>
                <w:sz w:val="16"/>
              </w:rPr>
              <w:t>Studied Si/p-Gr, Si/SV, and Si/DV5-8-5 on Si(111). Unit cells were 6.59 x 6.59 A with 30 Si and 30 Li; C counts were 14, 13, and 12 for p-Gr, SV, and DV5-8-5. The Si substrate had 10 layers; Gr-Si gap = 1.5 A; vacuum = 14 A; optimization used force &lt;0.02 eV/A and energy change &lt;1e-5 eV; k-grid = 3 x 3 x 1; NVT AIMD at 1200 K with a 3 fs timestep and Nose-Hoover thermostat; AIMD length = 30 ps; MSD fit used t &gt; 15 ps; D_Li values were 1.88e-4, 2.32e-4, and 2.47e-4 cm2/s for Si/p-Gr, Si/SV, and Si/DV5-8-5.</w:t>
            </w:r>
          </w:p>
        </w:tc>
        <w:tc>
          <w:tcPr>
            <w:tcW w:type="dxa" w:w="2592"/>
            <w:vAlign w:val="top"/>
          </w:tcPr>
          <w:p>
            <w:r>
              <w:rPr>
                <w:sz w:val="16"/>
              </w:rPr>
              <w:t>Use as the closest literature comparator for final trend discussion and as an optional geometry benchmark. Do not copy the 3 fs timestep into ReaxFF without stability validation.</w:t>
            </w:r>
          </w:p>
        </w:tc>
      </w:tr>
    </w:tbl>
    <w:p/>
    <w:tbl>
      <w:tblPr>
        <w:tblW w:type="auto" w:w="0"/>
        <w:tblLayout w:type="autofit"/>
        <w:tblLook w:firstColumn="1" w:firstRow="1" w:lastColumn="0" w:lastRow="0" w:noHBand="0" w:noVBand="1" w:val="04A0"/>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10368"/>
      </w:tblGrid>
      <w:tr>
        <w:tc>
          <w:tcPr>
            <w:tcW w:type="dxa" w:w="10368"/>
            <w:shd w:fill="D9EAF7"/>
            <w:vAlign w:val="top"/>
          </w:tcPr>
          <w:p>
            <w:r>
              <w:rPr>
                <w:b/>
                <w:sz w:val="16"/>
              </w:rPr>
              <w:t>Audit update: The 2025 ACS Omega defective-graphene paper has now been checked directly. Its numerical setup values and diffusion coefficients are included as literature comparators. They are not project results; this project must still generate its own D_A, D_B, fitting windows, and uncertainty under the chosen LAMMPS/ReaxFF protocol.</w:t>
            </w:r>
          </w:p>
        </w:tc>
      </w:tr>
    </w:tbl>
    <w:p/>
    <w:p>
      <w:pPr>
        <w:pStyle w:val="Heading1"/>
      </w:pPr>
      <w:r>
        <w:rPr>
          <w:sz w:val="21"/>
        </w:rPr>
        <w:t>4. Project Phases and Repository Workflow</w:t>
      </w:r>
    </w:p>
    <w:p>
      <w:r>
        <w:rPr>
          <w:sz w:val="21"/>
        </w:rPr>
        <w:t>The project is managed as validation gates. A phase is complete only when expected files are produced, visual checks pass in OVITO, and results are committed to GitHub.</w:t>
      </w:r>
    </w:p>
    <w:tbl>
      <w:tblPr>
        <w:tblStyle w:val="TableGrid"/>
        <w:tblW w:type="auto" w:w="0"/>
        <w:tblLayout w:type="autofit"/>
        <w:tblLook w:firstColumn="1" w:firstRow="1" w:lastColumn="0" w:lastRow="0" w:noHBand="0" w:noVBand="1" w:val="04A0"/>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2074"/>
        <w:gridCol w:w="2074"/>
        <w:gridCol w:w="2074"/>
        <w:gridCol w:w="2074"/>
        <w:gridCol w:w="2074"/>
      </w:tblGrid>
      <w:tr>
        <w:tc>
          <w:tcPr>
            <w:tcW w:type="dxa" w:w="720"/>
            <w:shd w:fill="D9EAF7"/>
            <w:vAlign w:val="top"/>
          </w:tcPr>
          <w:p>
            <w:pPr>
              <w:spacing w:after="0"/>
            </w:pPr>
            <w:r>
              <w:rPr>
                <w:b/>
                <w:sz w:val="16"/>
              </w:rPr>
            </w:r>
            <w:r>
              <w:rPr>
                <w:b/>
                <w:color w:val="FFFFFF"/>
                <w:sz w:val="16"/>
              </w:rPr>
              <w:t>Phase</w:t>
            </w:r>
          </w:p>
        </w:tc>
        <w:tc>
          <w:tcPr>
            <w:tcW w:type="dxa" w:w="2592"/>
            <w:shd w:fill="D9EAF7"/>
            <w:vAlign w:val="top"/>
          </w:tcPr>
          <w:p>
            <w:pPr>
              <w:spacing w:after="0"/>
            </w:pPr>
            <w:r>
              <w:rPr>
                <w:b/>
                <w:sz w:val="16"/>
              </w:rPr>
            </w:r>
            <w:r>
              <w:rPr>
                <w:b/>
                <w:color w:val="FFFFFF"/>
                <w:sz w:val="16"/>
              </w:rPr>
              <w:t>Objective</w:t>
            </w:r>
          </w:p>
        </w:tc>
        <w:tc>
          <w:tcPr>
            <w:tcW w:type="dxa" w:w="2304"/>
            <w:shd w:fill="D9EAF7"/>
            <w:vAlign w:val="top"/>
          </w:tcPr>
          <w:p>
            <w:pPr>
              <w:spacing w:after="0"/>
            </w:pPr>
            <w:r>
              <w:rPr>
                <w:b/>
                <w:sz w:val="16"/>
              </w:rPr>
            </w:r>
            <w:r>
              <w:rPr>
                <w:b/>
                <w:color w:val="FFFFFF"/>
                <w:sz w:val="16"/>
              </w:rPr>
              <w:t>Main folders</w:t>
            </w:r>
          </w:p>
        </w:tc>
        <w:tc>
          <w:tcPr>
            <w:tcW w:type="dxa" w:w="3312"/>
            <w:shd w:fill="D9EAF7"/>
            <w:vAlign w:val="top"/>
          </w:tcPr>
          <w:p>
            <w:pPr>
              <w:spacing w:after="0"/>
            </w:pPr>
            <w:r>
              <w:rPr>
                <w:b/>
                <w:sz w:val="16"/>
              </w:rPr>
            </w:r>
            <w:r>
              <w:rPr>
                <w:b/>
                <w:color w:val="FFFFFF"/>
                <w:sz w:val="16"/>
              </w:rPr>
              <w:t>Pass condition</w:t>
            </w:r>
          </w:p>
        </w:tc>
        <w:tc>
          <w:tcPr>
            <w:tcW w:type="dxa" w:w="1440"/>
            <w:shd w:fill="D9EAF7"/>
            <w:vAlign w:val="top"/>
          </w:tcPr>
          <w:p>
            <w:pPr>
              <w:spacing w:after="0"/>
            </w:pPr>
            <w:r>
              <w:rPr>
                <w:b/>
                <w:sz w:val="16"/>
              </w:rPr>
            </w:r>
            <w:r>
              <w:rPr>
                <w:b/>
                <w:color w:val="FFFFFF"/>
                <w:sz w:val="16"/>
              </w:rPr>
              <w:t>Literature use</w:t>
            </w:r>
          </w:p>
        </w:tc>
      </w:tr>
      <w:tr>
        <w:tc>
          <w:tcPr>
            <w:tcW w:type="dxa" w:w="720"/>
            <w:vAlign w:val="top"/>
          </w:tcPr>
          <w:p>
            <w:pPr>
              <w:spacing w:after="0"/>
            </w:pPr>
            <w:r>
              <w:rPr>
                <w:sz w:val="16"/>
              </w:rPr>
              <w:t>1</w:t>
            </w:r>
          </w:p>
        </w:tc>
        <w:tc>
          <w:tcPr>
            <w:tcW w:type="dxa" w:w="2592"/>
            <w:vAlign w:val="top"/>
          </w:tcPr>
          <w:p>
            <w:pPr>
              <w:spacing w:after="0"/>
            </w:pPr>
            <w:r>
              <w:rPr>
                <w:sz w:val="16"/>
              </w:rPr>
              <w:t>LAMMPS + OVITO validation</w:t>
            </w:r>
          </w:p>
        </w:tc>
        <w:tc>
          <w:tcPr>
            <w:tcW w:type="dxa" w:w="2304"/>
            <w:vAlign w:val="top"/>
          </w:tcPr>
          <w:p>
            <w:pPr>
              <w:spacing w:after="0"/>
            </w:pPr>
            <w:r>
              <w:rPr>
                <w:sz w:val="16"/>
              </w:rPr>
              <w:t>lammps_inputs/, trajectories/, figures/</w:t>
            </w:r>
          </w:p>
        </w:tc>
        <w:tc>
          <w:tcPr>
            <w:tcW w:type="dxa" w:w="3312"/>
            <w:vAlign w:val="top"/>
          </w:tcPr>
          <w:p>
            <w:pPr>
              <w:spacing w:after="0"/>
            </w:pPr>
            <w:r>
              <w:rPr>
                <w:sz w:val="16"/>
              </w:rPr>
              <w:t>Trajectory opens and animates in OVITO</w:t>
            </w:r>
          </w:p>
        </w:tc>
        <w:tc>
          <w:tcPr>
            <w:tcW w:type="dxa" w:w="1440"/>
            <w:vAlign w:val="top"/>
          </w:tcPr>
          <w:p>
            <w:pPr>
              <w:spacing w:after="0"/>
            </w:pPr>
            <w:r>
              <w:rPr>
                <w:sz w:val="16"/>
              </w:rPr>
              <w:t>Low</w:t>
            </w:r>
          </w:p>
        </w:tc>
      </w:tr>
      <w:tr>
        <w:tc>
          <w:tcPr>
            <w:tcW w:type="dxa" w:w="720"/>
            <w:vAlign w:val="top"/>
          </w:tcPr>
          <w:p>
            <w:pPr>
              <w:spacing w:after="0"/>
            </w:pPr>
            <w:r>
              <w:rPr>
                <w:sz w:val="16"/>
              </w:rPr>
              <w:t>2</w:t>
            </w:r>
          </w:p>
        </w:tc>
        <w:tc>
          <w:tcPr>
            <w:tcW w:type="dxa" w:w="2592"/>
            <w:vAlign w:val="top"/>
          </w:tcPr>
          <w:p>
            <w:pPr>
              <w:spacing w:after="0"/>
            </w:pPr>
            <w:r>
              <w:rPr>
                <w:sz w:val="16"/>
              </w:rPr>
              <w:t>Graphene + Li initial structure</w:t>
            </w:r>
          </w:p>
        </w:tc>
        <w:tc>
          <w:tcPr>
            <w:tcW w:type="dxa" w:w="2304"/>
            <w:vAlign w:val="top"/>
          </w:tcPr>
          <w:p>
            <w:pPr>
              <w:spacing w:after="0"/>
            </w:pPr>
            <w:r>
              <w:rPr>
                <w:sz w:val="16"/>
              </w:rPr>
              <w:t>structures/, figures/, notes/</w:t>
            </w:r>
          </w:p>
        </w:tc>
        <w:tc>
          <w:tcPr>
            <w:tcW w:type="dxa" w:w="3312"/>
            <w:vAlign w:val="top"/>
          </w:tcPr>
          <w:p>
            <w:pPr>
              <w:spacing w:after="0"/>
            </w:pPr>
            <w:r>
              <w:rPr>
                <w:sz w:val="16"/>
              </w:rPr>
              <w:t>Graphene and Li geometry looks correct; no obvious overlaps</w:t>
            </w:r>
          </w:p>
        </w:tc>
        <w:tc>
          <w:tcPr>
            <w:tcW w:type="dxa" w:w="1440"/>
            <w:vAlign w:val="top"/>
          </w:tcPr>
          <w:p>
            <w:pPr>
              <w:spacing w:after="0"/>
            </w:pPr>
            <w:r>
              <w:rPr>
                <w:sz w:val="16"/>
              </w:rPr>
              <w:t>Low-moderate</w:t>
            </w:r>
          </w:p>
        </w:tc>
      </w:tr>
      <w:tr>
        <w:tc>
          <w:tcPr>
            <w:tcW w:type="dxa" w:w="720"/>
            <w:vAlign w:val="top"/>
          </w:tcPr>
          <w:p>
            <w:pPr>
              <w:spacing w:after="0"/>
            </w:pPr>
            <w:r>
              <w:rPr>
                <w:sz w:val="16"/>
              </w:rPr>
              <w:t>3</w:t>
            </w:r>
          </w:p>
        </w:tc>
        <w:tc>
          <w:tcPr>
            <w:tcW w:type="dxa" w:w="2592"/>
            <w:vAlign w:val="top"/>
          </w:tcPr>
          <w:p>
            <w:pPr>
              <w:spacing w:after="0"/>
            </w:pPr>
            <w:r>
              <w:rPr>
                <w:sz w:val="16"/>
              </w:rPr>
              <w:t>Force-field selection/test</w:t>
            </w:r>
          </w:p>
        </w:tc>
        <w:tc>
          <w:tcPr>
            <w:tcW w:type="dxa" w:w="2304"/>
            <w:vAlign w:val="top"/>
          </w:tcPr>
          <w:p>
            <w:pPr>
              <w:spacing w:after="0"/>
            </w:pPr>
            <w:r>
              <w:rPr>
                <w:sz w:val="16"/>
              </w:rPr>
              <w:t>force_fields/, lammps_inputs/</w:t>
            </w:r>
          </w:p>
        </w:tc>
        <w:tc>
          <w:tcPr>
            <w:tcW w:type="dxa" w:w="3312"/>
            <w:vAlign w:val="top"/>
          </w:tcPr>
          <w:p>
            <w:pPr>
              <w:spacing w:after="0"/>
            </w:pPr>
            <w:r>
              <w:rPr>
                <w:sz w:val="16"/>
              </w:rPr>
              <w:t>Li-Si-C ReaxFF loads; QEq runs; no immediate instability</w:t>
            </w:r>
          </w:p>
        </w:tc>
        <w:tc>
          <w:tcPr>
            <w:tcW w:type="dxa" w:w="1440"/>
            <w:vAlign w:val="top"/>
          </w:tcPr>
          <w:p>
            <w:pPr>
              <w:spacing w:after="0"/>
            </w:pPr>
            <w:r>
              <w:rPr>
                <w:sz w:val="16"/>
              </w:rPr>
              <w:t>High</w:t>
            </w:r>
          </w:p>
        </w:tc>
      </w:tr>
      <w:tr>
        <w:tc>
          <w:tcPr>
            <w:tcW w:type="dxa" w:w="720"/>
            <w:vAlign w:val="top"/>
          </w:tcPr>
          <w:p>
            <w:pPr>
              <w:spacing w:after="0"/>
            </w:pPr>
            <w:r>
              <w:rPr>
                <w:sz w:val="16"/>
              </w:rPr>
              <w:t>4</w:t>
            </w:r>
          </w:p>
        </w:tc>
        <w:tc>
          <w:tcPr>
            <w:tcW w:type="dxa" w:w="2592"/>
            <w:vAlign w:val="top"/>
          </w:tcPr>
          <w:p>
            <w:pPr>
              <w:spacing w:after="0"/>
            </w:pPr>
            <w:r>
              <w:rPr>
                <w:sz w:val="16"/>
              </w:rPr>
              <w:t>Pristine Si-graphene-Li model</w:t>
            </w:r>
          </w:p>
        </w:tc>
        <w:tc>
          <w:tcPr>
            <w:tcW w:type="dxa" w:w="2304"/>
            <w:vAlign w:val="top"/>
          </w:tcPr>
          <w:p>
            <w:pPr>
              <w:spacing w:after="0"/>
            </w:pPr>
            <w:r>
              <w:rPr>
                <w:sz w:val="16"/>
              </w:rPr>
              <w:t>structures/, lammps_inputs/</w:t>
            </w:r>
          </w:p>
        </w:tc>
        <w:tc>
          <w:tcPr>
            <w:tcW w:type="dxa" w:w="3312"/>
            <w:vAlign w:val="top"/>
          </w:tcPr>
          <w:p>
            <w:pPr>
              <w:spacing w:after="0"/>
            </w:pPr>
            <w:r>
              <w:rPr>
                <w:sz w:val="16"/>
              </w:rPr>
              <w:t>Model A minimizes and equilibrates</w:t>
            </w:r>
          </w:p>
        </w:tc>
        <w:tc>
          <w:tcPr>
            <w:tcW w:type="dxa" w:w="1440"/>
            <w:vAlign w:val="top"/>
          </w:tcPr>
          <w:p>
            <w:pPr>
              <w:spacing w:after="0"/>
            </w:pPr>
            <w:r>
              <w:rPr>
                <w:sz w:val="16"/>
              </w:rPr>
              <w:t>High</w:t>
            </w:r>
          </w:p>
        </w:tc>
      </w:tr>
      <w:tr>
        <w:tc>
          <w:tcPr>
            <w:tcW w:type="dxa" w:w="720"/>
            <w:vAlign w:val="top"/>
          </w:tcPr>
          <w:p>
            <w:pPr>
              <w:spacing w:after="0"/>
            </w:pPr>
            <w:r>
              <w:rPr>
                <w:sz w:val="16"/>
              </w:rPr>
              <w:t>5</w:t>
            </w:r>
          </w:p>
        </w:tc>
        <w:tc>
          <w:tcPr>
            <w:tcW w:type="dxa" w:w="2592"/>
            <w:vAlign w:val="top"/>
          </w:tcPr>
          <w:p>
            <w:pPr>
              <w:spacing w:after="0"/>
            </w:pPr>
            <w:r>
              <w:rPr>
                <w:sz w:val="16"/>
              </w:rPr>
              <w:t>Defective Si-graphene-Li model</w:t>
            </w:r>
          </w:p>
        </w:tc>
        <w:tc>
          <w:tcPr>
            <w:tcW w:type="dxa" w:w="2304"/>
            <w:vAlign w:val="top"/>
          </w:tcPr>
          <w:p>
            <w:pPr>
              <w:spacing w:after="0"/>
            </w:pPr>
            <w:r>
              <w:rPr>
                <w:sz w:val="16"/>
              </w:rPr>
              <w:t>structures/, lammps_inputs/</w:t>
            </w:r>
          </w:p>
        </w:tc>
        <w:tc>
          <w:tcPr>
            <w:tcW w:type="dxa" w:w="3312"/>
            <w:vAlign w:val="top"/>
          </w:tcPr>
          <w:p>
            <w:pPr>
              <w:spacing w:after="0"/>
            </w:pPr>
            <w:r>
              <w:rPr>
                <w:sz w:val="16"/>
              </w:rPr>
              <w:t>Model B is comparable to Model A except for vacancy</w:t>
            </w:r>
          </w:p>
        </w:tc>
        <w:tc>
          <w:tcPr>
            <w:tcW w:type="dxa" w:w="1440"/>
            <w:vAlign w:val="top"/>
          </w:tcPr>
          <w:p>
            <w:pPr>
              <w:spacing w:after="0"/>
            </w:pPr>
            <w:r>
              <w:rPr>
                <w:sz w:val="16"/>
              </w:rPr>
              <w:t>High</w:t>
            </w:r>
          </w:p>
        </w:tc>
      </w:tr>
      <w:tr>
        <w:tc>
          <w:tcPr>
            <w:tcW w:type="dxa" w:w="720"/>
            <w:vAlign w:val="top"/>
          </w:tcPr>
          <w:p>
            <w:pPr>
              <w:spacing w:after="0"/>
            </w:pPr>
            <w:r>
              <w:rPr>
                <w:sz w:val="16"/>
              </w:rPr>
              <w:t>6</w:t>
            </w:r>
          </w:p>
        </w:tc>
        <w:tc>
          <w:tcPr>
            <w:tcW w:type="dxa" w:w="2592"/>
            <w:vAlign w:val="top"/>
          </w:tcPr>
          <w:p>
            <w:pPr>
              <w:spacing w:after="0"/>
            </w:pPr>
            <w:r>
              <w:rPr>
                <w:sz w:val="16"/>
              </w:rPr>
              <w:t>Production MD</w:t>
            </w:r>
          </w:p>
        </w:tc>
        <w:tc>
          <w:tcPr>
            <w:tcW w:type="dxa" w:w="2304"/>
            <w:vAlign w:val="top"/>
          </w:tcPr>
          <w:p>
            <w:pPr>
              <w:spacing w:after="0"/>
            </w:pPr>
            <w:r>
              <w:rPr>
                <w:sz w:val="16"/>
              </w:rPr>
              <w:t>trajectories/, logs/</w:t>
            </w:r>
          </w:p>
        </w:tc>
        <w:tc>
          <w:tcPr>
            <w:tcW w:type="dxa" w:w="3312"/>
            <w:vAlign w:val="top"/>
          </w:tcPr>
          <w:p>
            <w:pPr>
              <w:spacing w:after="0"/>
            </w:pPr>
            <w:r>
              <w:rPr>
                <w:sz w:val="16"/>
              </w:rPr>
              <w:t>Stable trajectories with usable MSD growth</w:t>
            </w:r>
          </w:p>
        </w:tc>
        <w:tc>
          <w:tcPr>
            <w:tcW w:type="dxa" w:w="1440"/>
            <w:vAlign w:val="top"/>
          </w:tcPr>
          <w:p>
            <w:pPr>
              <w:spacing w:after="0"/>
            </w:pPr>
            <w:r>
              <w:rPr>
                <w:sz w:val="16"/>
              </w:rPr>
              <w:t>High</w:t>
            </w:r>
          </w:p>
        </w:tc>
      </w:tr>
      <w:tr>
        <w:tc>
          <w:tcPr>
            <w:tcW w:type="dxa" w:w="720"/>
            <w:vAlign w:val="top"/>
          </w:tcPr>
          <w:p>
            <w:pPr>
              <w:spacing w:after="0"/>
            </w:pPr>
            <w:r>
              <w:rPr>
                <w:sz w:val="16"/>
              </w:rPr>
              <w:t>7</w:t>
            </w:r>
          </w:p>
        </w:tc>
        <w:tc>
          <w:tcPr>
            <w:tcW w:type="dxa" w:w="2592"/>
            <w:vAlign w:val="top"/>
          </w:tcPr>
          <w:p>
            <w:pPr>
              <w:spacing w:after="0"/>
            </w:pPr>
            <w:r>
              <w:rPr>
                <w:sz w:val="16"/>
              </w:rPr>
              <w:t>MSD and diffusion analysis</w:t>
            </w:r>
          </w:p>
        </w:tc>
        <w:tc>
          <w:tcPr>
            <w:tcW w:type="dxa" w:w="2304"/>
            <w:vAlign w:val="top"/>
          </w:tcPr>
          <w:p>
            <w:pPr>
              <w:spacing w:after="0"/>
            </w:pPr>
            <w:r>
              <w:rPr>
                <w:sz w:val="16"/>
              </w:rPr>
              <w:t>analysis/, figures/</w:t>
            </w:r>
          </w:p>
        </w:tc>
        <w:tc>
          <w:tcPr>
            <w:tcW w:type="dxa" w:w="3312"/>
            <w:vAlign w:val="top"/>
          </w:tcPr>
          <w:p>
            <w:pPr>
              <w:spacing w:after="0"/>
            </w:pPr>
            <w:r>
              <w:rPr>
                <w:sz w:val="16"/>
              </w:rPr>
              <w:t>MSD curves, D values, fitting windows, and uncertainty</w:t>
            </w:r>
          </w:p>
        </w:tc>
        <w:tc>
          <w:tcPr>
            <w:tcW w:type="dxa" w:w="1440"/>
            <w:vAlign w:val="top"/>
          </w:tcPr>
          <w:p>
            <w:pPr>
              <w:spacing w:after="0"/>
            </w:pPr>
            <w:r>
              <w:rPr>
                <w:sz w:val="16"/>
              </w:rPr>
              <w:t>High</w:t>
            </w:r>
          </w:p>
        </w:tc>
      </w:tr>
    </w:tbl>
    <w:p/>
    <w:p>
      <w:pPr>
        <w:pStyle w:val="Heading2"/>
      </w:pPr>
      <w:r>
        <w:rPr>
          <w:sz w:val="21"/>
        </w:rPr>
        <w:t>4.1 Phase-Specific Parameter Matrix</w:t>
      </w:r>
    </w:p>
    <w:p>
      <w:r>
        <w:rPr>
          <w:sz w:val="21"/>
        </w:rPr>
        <w:t>The table below converts the seven-phase workflow into an execution matrix. It lists the parameters that must be supplied in each phase, separates literature-backed anchors from project-controlled choices, and identifies what each phase is expected to discover or validate. This table should be updated after each phase is completed.</w:t>
      </w:r>
    </w:p>
    <w:tbl>
      <w:tblPr>
        <w:tblStyle w:val="TableGrid"/>
        <w:tblW w:type="auto" w:w="0"/>
        <w:jc w:val="center"/>
        <w:tblLayout w:type="autofit"/>
        <w:tblLook w:firstColumn="1" w:firstRow="1" w:lastColumn="0" w:lastRow="0" w:noHBand="0" w:noVBand="1" w:val="04A0"/>
      </w:tblPr>
      <w:tblGrid>
        <w:gridCol w:w="2592"/>
        <w:gridCol w:w="2592"/>
        <w:gridCol w:w="2592"/>
        <w:gridCol w:w="2592"/>
      </w:tblGrid>
      <w:tr>
        <w:trPr>
          <w:tblHeader w:val="true"/>
        </w:trPr>
        <w:tc>
          <w:tcPr>
            <w:tcW w:type="dxa" w:w="1440"/>
            <w:vAlign w:val="top"/>
            <w:shd w:fill="D9EAF7"/>
          </w:tcPr>
          <w:p>
            <w:pPr>
              <w:spacing w:after="0"/>
              <w:jc w:val="left"/>
            </w:pPr>
            <w:r>
              <w:rPr>
                <w:b/>
                <w:sz w:val="16"/>
              </w:rPr>
            </w:r>
            <w:r>
              <w:rPr>
                <w:b/>
                <w:sz w:val="16"/>
              </w:rPr>
              <w:t>Phase</w:t>
            </w:r>
          </w:p>
        </w:tc>
        <w:tc>
          <w:tcPr>
            <w:tcW w:type="dxa" w:w="2304"/>
            <w:vAlign w:val="top"/>
            <w:shd w:fill="D9EAF7"/>
          </w:tcPr>
          <w:p>
            <w:pPr>
              <w:spacing w:after="0"/>
              <w:jc w:val="left"/>
            </w:pPr>
            <w:r>
              <w:rPr>
                <w:b/>
                <w:sz w:val="16"/>
              </w:rPr>
            </w:r>
            <w:r>
              <w:rPr>
                <w:b/>
                <w:sz w:val="16"/>
              </w:rPr>
              <w:t>Required inputs</w:t>
            </w:r>
          </w:p>
        </w:tc>
        <w:tc>
          <w:tcPr>
            <w:tcW w:type="dxa" w:w="3024"/>
            <w:vAlign w:val="top"/>
            <w:shd w:fill="D9EAF7"/>
          </w:tcPr>
          <w:p>
            <w:pPr>
              <w:spacing w:after="0"/>
              <w:jc w:val="left"/>
            </w:pPr>
            <w:r>
              <w:rPr>
                <w:b/>
                <w:sz w:val="16"/>
              </w:rPr>
            </w:r>
            <w:r>
              <w:rPr>
                <w:b/>
                <w:sz w:val="16"/>
              </w:rPr>
              <w:t>Literature-backed anchors / credible sources</w:t>
            </w:r>
          </w:p>
        </w:tc>
        <w:tc>
          <w:tcPr>
            <w:tcW w:type="dxa" w:w="2880"/>
            <w:vAlign w:val="top"/>
            <w:shd w:fill="D9EAF7"/>
          </w:tcPr>
          <w:p>
            <w:pPr>
              <w:spacing w:after="0"/>
              <w:jc w:val="left"/>
            </w:pPr>
            <w:r>
              <w:rPr>
                <w:b/>
                <w:sz w:val="16"/>
              </w:rPr>
            </w:r>
            <w:r>
              <w:rPr>
                <w:b/>
                <w:sz w:val="16"/>
              </w:rPr>
              <w:t>Project-discovered output or pass condition</w:t>
            </w:r>
          </w:p>
        </w:tc>
      </w:tr>
      <w:tr>
        <w:tc>
          <w:tcPr>
            <w:tcW w:type="dxa" w:w="1440"/>
            <w:vAlign w:val="top"/>
          </w:tcPr>
          <w:p>
            <w:pPr>
              <w:spacing w:after="0"/>
              <w:jc w:val="left"/>
            </w:pPr>
            <w:r>
              <w:rPr>
                <w:sz w:val="16"/>
              </w:rPr>
            </w:r>
            <w:r>
              <w:rPr>
                <w:b w:val="0"/>
                <w:sz w:val="16"/>
              </w:rPr>
              <w:t>1. LAMMPS + OVITO validation</w:t>
            </w:r>
          </w:p>
        </w:tc>
        <w:tc>
          <w:tcPr>
            <w:tcW w:type="dxa" w:w="2304"/>
            <w:vAlign w:val="top"/>
          </w:tcPr>
          <w:p>
            <w:pPr>
              <w:spacing w:after="0"/>
              <w:jc w:val="left"/>
            </w:pPr>
            <w:r>
              <w:rPr>
                <w:sz w:val="16"/>
              </w:rPr>
            </w:r>
            <w:r>
              <w:rPr>
                <w:b w:val="0"/>
                <w:sz w:val="16"/>
              </w:rPr>
              <w:t>LAMMPS executable, simple input script, dump frequency, trajectory file, OVITO visualization.</w:t>
            </w:r>
          </w:p>
        </w:tc>
        <w:tc>
          <w:tcPr>
            <w:tcW w:type="dxa" w:w="3024"/>
            <w:vAlign w:val="top"/>
          </w:tcPr>
          <w:p>
            <w:pPr>
              <w:spacing w:after="0"/>
              <w:jc w:val="left"/>
            </w:pPr>
            <w:r>
              <w:rPr>
                <w:sz w:val="16"/>
              </w:rPr>
            </w:r>
            <w:r>
              <w:rPr>
                <w:b w:val="0"/>
                <w:sz w:val="16"/>
              </w:rPr>
              <w:t>No chemistry literature required. This phase validates the software pipeline only.</w:t>
            </w:r>
          </w:p>
        </w:tc>
        <w:tc>
          <w:tcPr>
            <w:tcW w:type="dxa" w:w="2880"/>
            <w:vAlign w:val="top"/>
          </w:tcPr>
          <w:p>
            <w:pPr>
              <w:spacing w:after="0"/>
              <w:jc w:val="left"/>
            </w:pPr>
            <w:r>
              <w:rPr>
                <w:sz w:val="16"/>
              </w:rPr>
            </w:r>
            <w:r>
              <w:rPr>
                <w:b w:val="0"/>
                <w:sz w:val="16"/>
              </w:rPr>
              <w:t>LAMMPS produces a log and dump file; OVITO opens and animates the trajectory. Phase 1 screenshot is saved.</w:t>
            </w:r>
          </w:p>
        </w:tc>
      </w:tr>
      <w:tr>
        <w:tc>
          <w:tcPr>
            <w:tcW w:type="dxa" w:w="1440"/>
            <w:vAlign w:val="top"/>
          </w:tcPr>
          <w:p>
            <w:pPr>
              <w:spacing w:after="0"/>
              <w:jc w:val="left"/>
            </w:pPr>
            <w:r>
              <w:rPr>
                <w:sz w:val="16"/>
              </w:rPr>
            </w:r>
            <w:r>
              <w:rPr>
                <w:b w:val="0"/>
                <w:sz w:val="16"/>
              </w:rPr>
              <w:t>2. Graphene + Li initial structure</w:t>
            </w:r>
          </w:p>
        </w:tc>
        <w:tc>
          <w:tcPr>
            <w:tcW w:type="dxa" w:w="2304"/>
            <w:vAlign w:val="top"/>
          </w:tcPr>
          <w:p>
            <w:pPr>
              <w:spacing w:after="0"/>
              <w:jc w:val="left"/>
            </w:pPr>
            <w:r>
              <w:rPr>
                <w:sz w:val="16"/>
              </w:rPr>
            </w:r>
            <w:r>
              <w:rPr>
                <w:b w:val="0"/>
                <w:sz w:val="16"/>
              </w:rPr>
              <w:t>Graphene lattice, test sheet size, Li count, Li starting height, z-vacuum, export formats.</w:t>
            </w:r>
          </w:p>
        </w:tc>
        <w:tc>
          <w:tcPr>
            <w:tcW w:type="dxa" w:w="3024"/>
            <w:vAlign w:val="top"/>
          </w:tcPr>
          <w:p>
            <w:pPr>
              <w:spacing w:after="0"/>
              <w:jc w:val="left"/>
            </w:pPr>
            <w:r>
              <w:rPr>
                <w:sz w:val="16"/>
              </w:rPr>
            </w:r>
            <w:r>
              <w:rPr>
                <w:b w:val="0"/>
                <w:sz w:val="16"/>
              </w:rPr>
              <w:t>Graphene lattice constant 2.467 A from Chou &amp; Hwang [1]. Approximate Li-graphene starting distance near 2.3 A from Chou &amp; Hwang [1]. Isolated graphene vacuum around 20 A from Qin et al. [2].</w:t>
            </w:r>
          </w:p>
        </w:tc>
        <w:tc>
          <w:tcPr>
            <w:tcW w:type="dxa" w:w="2880"/>
            <w:vAlign w:val="top"/>
          </w:tcPr>
          <w:p>
            <w:pPr>
              <w:spacing w:after="0"/>
              <w:jc w:val="left"/>
            </w:pPr>
            <w:r>
              <w:rPr>
                <w:sz w:val="16"/>
              </w:rPr>
            </w:r>
            <w:r>
              <w:rPr>
                <w:b w:val="0"/>
                <w:sz w:val="16"/>
              </w:rPr>
              <w:t>Structure opens in OVITO; Li atoms are above graphene; no obvious overlaps. Exact Phase 2 sheet size and Li count remain documented project choices.</w:t>
            </w:r>
          </w:p>
        </w:tc>
      </w:tr>
      <w:tr>
        <w:tc>
          <w:tcPr>
            <w:tcW w:type="dxa" w:w="1440"/>
            <w:vAlign w:val="top"/>
          </w:tcPr>
          <w:p>
            <w:pPr>
              <w:spacing w:after="0"/>
              <w:jc w:val="left"/>
            </w:pPr>
            <w:r>
              <w:rPr>
                <w:sz w:val="16"/>
              </w:rPr>
            </w:r>
            <w:r>
              <w:rPr>
                <w:b w:val="0"/>
                <w:sz w:val="16"/>
              </w:rPr>
              <w:t>3. Force-field selection and ReaxFF test</w:t>
            </w:r>
          </w:p>
        </w:tc>
        <w:tc>
          <w:tcPr>
            <w:tcW w:type="dxa" w:w="2304"/>
            <w:vAlign w:val="top"/>
          </w:tcPr>
          <w:p>
            <w:pPr>
              <w:spacing w:after="0"/>
              <w:jc w:val="left"/>
            </w:pPr>
            <w:r>
              <w:rPr>
                <w:sz w:val="16"/>
              </w:rPr>
            </w:r>
            <w:r>
              <w:rPr>
                <w:b w:val="0"/>
                <w:sz w:val="16"/>
              </w:rPr>
              <w:t>Li-Si-C ReaxFF parameter file, atom order, pair_coeff mapping, atom_style charge, QEq settings, timestep tests.</w:t>
            </w:r>
          </w:p>
        </w:tc>
        <w:tc>
          <w:tcPr>
            <w:tcW w:type="dxa" w:w="3024"/>
            <w:vAlign w:val="top"/>
          </w:tcPr>
          <w:p>
            <w:r>
              <w:rPr>
                <w:sz w:val="16"/>
              </w:rPr>
              <w:t>Li-Si-C ReaxFF from Olou'ou Guifo et al. [4]. Their ReaxFF-MD used 0.5 fs and 0.1 fs for tracer diffusion; LAMMPS ReaxFF/QEq requirements from LAMMPS docs [6,7].</w:t>
            </w:r>
          </w:p>
        </w:tc>
        <w:tc>
          <w:tcPr>
            <w:tcW w:type="dxa" w:w="2880"/>
            <w:vAlign w:val="top"/>
          </w:tcPr>
          <w:p>
            <w:pPr>
              <w:spacing w:after="0"/>
              <w:jc w:val="left"/>
            </w:pPr>
            <w:r>
              <w:rPr>
                <w:sz w:val="16"/>
              </w:rPr>
            </w:r>
            <w:r>
              <w:rPr>
                <w:b w:val="0"/>
                <w:sz w:val="16"/>
              </w:rPr>
              <w:t>Correct atom mapping; QEq runs without unresolved warnings; stable short test. Final stable timestep is discovered by testing 0.25, 0.5, and/or 1.0 fs.</w:t>
            </w:r>
          </w:p>
        </w:tc>
      </w:tr>
      <w:tr>
        <w:tc>
          <w:tcPr>
            <w:tcW w:type="dxa" w:w="1440"/>
            <w:vAlign w:val="top"/>
          </w:tcPr>
          <w:p>
            <w:pPr>
              <w:spacing w:after="0"/>
              <w:jc w:val="left"/>
            </w:pPr>
            <w:r>
              <w:rPr>
                <w:sz w:val="16"/>
              </w:rPr>
            </w:r>
            <w:r>
              <w:rPr>
                <w:b w:val="0"/>
                <w:sz w:val="16"/>
              </w:rPr>
              <w:t>4. Model A: pristine Si-graphene-Li</w:t>
            </w:r>
          </w:p>
        </w:tc>
        <w:tc>
          <w:tcPr>
            <w:tcW w:type="dxa" w:w="2304"/>
            <w:vAlign w:val="top"/>
          </w:tcPr>
          <w:p>
            <w:pPr>
              <w:spacing w:after="0"/>
              <w:jc w:val="left"/>
            </w:pPr>
            <w:r>
              <w:rPr>
                <w:sz w:val="16"/>
              </w:rPr>
            </w:r>
            <w:r>
              <w:rPr>
                <w:b w:val="0"/>
                <w:sz w:val="16"/>
              </w:rPr>
              <w:t>Si slab orientation, slab size, graphene sheet, Li loading, starting interface spacing, boundary conditions, minimization settings.</w:t>
            </w:r>
          </w:p>
        </w:tc>
        <w:tc>
          <w:tcPr>
            <w:tcW w:type="dxa" w:w="3024"/>
            <w:vAlign w:val="top"/>
          </w:tcPr>
          <w:p>
            <w:r>
              <w:rPr>
                <w:sz w:val="16"/>
              </w:rPr>
              <w:t>Qin et al. provide a Gr/Si defect-benchmark geometry using Si(111), 4 x 4 slab, and 18 A vacuum [2]. Si et al. provide a smaller AIMD geometry: Si(111), 10 layers, 6.59 x 6.59 A, 30 Si, 14 C, 30 Li [9].</w:t>
            </w:r>
          </w:p>
        </w:tc>
        <w:tc>
          <w:tcPr>
            <w:tcW w:type="dxa" w:w="2880"/>
            <w:vAlign w:val="top"/>
          </w:tcPr>
          <w:p>
            <w:pPr>
              <w:spacing w:after="0"/>
              <w:jc w:val="left"/>
            </w:pPr>
            <w:r>
              <w:rPr>
                <w:sz w:val="16"/>
              </w:rPr>
            </w:r>
            <w:r>
              <w:rPr>
                <w:b w:val="0"/>
                <w:sz w:val="16"/>
              </w:rPr>
              <w:t>Minimized and equilibrated pristine interface. Final atom counts, relaxed interface spacing, and stable Model A geometry are project outputs.</w:t>
            </w:r>
          </w:p>
        </w:tc>
      </w:tr>
      <w:tr>
        <w:tc>
          <w:tcPr>
            <w:tcW w:type="dxa" w:w="1440"/>
            <w:vAlign w:val="top"/>
          </w:tcPr>
          <w:p>
            <w:pPr>
              <w:spacing w:after="0"/>
              <w:jc w:val="left"/>
            </w:pPr>
            <w:r>
              <w:rPr>
                <w:sz w:val="16"/>
              </w:rPr>
            </w:r>
            <w:r>
              <w:rPr>
                <w:b w:val="0"/>
                <w:sz w:val="16"/>
              </w:rPr>
              <w:t>5. Model B: vacancy-defective Si-graphene-Li</w:t>
            </w:r>
          </w:p>
        </w:tc>
        <w:tc>
          <w:tcPr>
            <w:tcW w:type="dxa" w:w="2304"/>
            <w:vAlign w:val="top"/>
          </w:tcPr>
          <w:p>
            <w:pPr>
              <w:spacing w:after="0"/>
              <w:jc w:val="left"/>
            </w:pPr>
            <w:r>
              <w:rPr>
                <w:sz w:val="16"/>
              </w:rPr>
            </w:r>
            <w:r>
              <w:rPr>
                <w:b w:val="0"/>
                <w:sz w:val="16"/>
              </w:rPr>
              <w:t>Same inputs as Model A plus vacancy construction: removed C atom, defect position, and identical Li loading/box/protocol.</w:t>
            </w:r>
          </w:p>
        </w:tc>
        <w:tc>
          <w:tcPr>
            <w:tcW w:type="dxa" w:w="3024"/>
            <w:vAlign w:val="top"/>
          </w:tcPr>
          <w:p>
            <w:r>
              <w:rPr>
                <w:sz w:val="16"/>
              </w:rPr>
              <w:t>SV and DV5-8-5 are supported by Qin et al. [2]. Si et al. directly compared Si/p-Gr, Si/SV, and Si/DV5-8-5 and found higher D_Li in the defective systems [9].</w:t>
            </w:r>
          </w:p>
        </w:tc>
        <w:tc>
          <w:tcPr>
            <w:tcW w:type="dxa" w:w="2880"/>
            <w:vAlign w:val="top"/>
          </w:tcPr>
          <w:p>
            <w:pPr>
              <w:spacing w:after="0"/>
              <w:jc w:val="left"/>
            </w:pPr>
            <w:r>
              <w:rPr>
                <w:sz w:val="16"/>
              </w:rPr>
            </w:r>
            <w:r>
              <w:rPr>
                <w:b w:val="0"/>
                <w:sz w:val="16"/>
              </w:rPr>
              <w:t>Model B differs from Model A only by the vacancy; it minimizes and equilibrates without collapse. Defect-induced structural changes are observed.</w:t>
            </w:r>
          </w:p>
        </w:tc>
      </w:tr>
      <w:tr>
        <w:tc>
          <w:tcPr>
            <w:tcW w:type="dxa" w:w="1440"/>
            <w:vAlign w:val="top"/>
          </w:tcPr>
          <w:p>
            <w:pPr>
              <w:spacing w:after="0"/>
              <w:jc w:val="left"/>
            </w:pPr>
            <w:r>
              <w:rPr>
                <w:sz w:val="16"/>
              </w:rPr>
            </w:r>
            <w:r>
              <w:rPr>
                <w:b w:val="0"/>
                <w:sz w:val="16"/>
              </w:rPr>
              <w:t>6. Production MD</w:t>
            </w:r>
          </w:p>
        </w:tc>
        <w:tc>
          <w:tcPr>
            <w:tcW w:type="dxa" w:w="2304"/>
            <w:vAlign w:val="top"/>
          </w:tcPr>
          <w:p>
            <w:pPr>
              <w:spacing w:after="0"/>
              <w:jc w:val="left"/>
            </w:pPr>
            <w:r>
              <w:rPr>
                <w:sz w:val="16"/>
              </w:rPr>
            </w:r>
            <w:r>
              <w:rPr>
                <w:b w:val="0"/>
                <w:sz w:val="16"/>
              </w:rPr>
              <w:t>Chosen temperature, timestep, thermostat damping, equilibration length, production length, dump frequency, random seeds.</w:t>
            </w:r>
          </w:p>
        </w:tc>
        <w:tc>
          <w:tcPr>
            <w:tcW w:type="dxa" w:w="3024"/>
            <w:vAlign w:val="top"/>
          </w:tcPr>
          <w:p>
            <w:r>
              <w:rPr>
                <w:sz w:val="16"/>
              </w:rPr>
              <w:t>NVT is supported by Chou, Gao, Lashani Zand, and Si et al. [1,3,5,9]. Literature temperatures include 800 K and 1200 K; production examples include 18, 25, 30, and 60 ps depending on model type.</w:t>
            </w:r>
          </w:p>
        </w:tc>
        <w:tc>
          <w:tcPr>
            <w:tcW w:type="dxa" w:w="2880"/>
            <w:vAlign w:val="top"/>
          </w:tcPr>
          <w:p>
            <w:pPr>
              <w:spacing w:after="0"/>
              <w:jc w:val="left"/>
            </w:pPr>
            <w:r>
              <w:rPr>
                <w:sz w:val="16"/>
              </w:rPr>
            </w:r>
            <w:r>
              <w:rPr>
                <w:b w:val="0"/>
                <w:sz w:val="16"/>
              </w:rPr>
              <w:t>Stable trajectories for Model A and Model B. Final temperature, timestep, equilibration length, and production length are confirmed by stability and MSD quality.</w:t>
            </w:r>
          </w:p>
        </w:tc>
      </w:tr>
      <w:tr>
        <w:tc>
          <w:tcPr>
            <w:tcW w:type="dxa" w:w="1440"/>
            <w:vAlign w:val="top"/>
          </w:tcPr>
          <w:p>
            <w:pPr>
              <w:spacing w:after="0"/>
              <w:jc w:val="left"/>
            </w:pPr>
            <w:r>
              <w:rPr>
                <w:sz w:val="16"/>
              </w:rPr>
            </w:r>
            <w:r>
              <w:rPr>
                <w:b w:val="0"/>
                <w:sz w:val="16"/>
              </w:rPr>
              <w:t>7. MSD and diffusion analysis</w:t>
            </w:r>
          </w:p>
        </w:tc>
        <w:tc>
          <w:tcPr>
            <w:tcW w:type="dxa" w:w="2304"/>
            <w:vAlign w:val="top"/>
          </w:tcPr>
          <w:p>
            <w:pPr>
              <w:spacing w:after="0"/>
              <w:jc w:val="left"/>
            </w:pPr>
            <w:r>
              <w:rPr>
                <w:sz w:val="16"/>
              </w:rPr>
            </w:r>
            <w:r>
              <w:rPr>
                <w:b w:val="0"/>
                <w:sz w:val="16"/>
              </w:rPr>
              <w:t>MSD dimensionality, coordinate unwrapping, fitting-window rule, unit conversion, repeats/statistics, output plots.</w:t>
            </w:r>
          </w:p>
        </w:tc>
        <w:tc>
          <w:tcPr>
            <w:tcW w:type="dxa" w:w="3024"/>
            <w:vAlign w:val="top"/>
          </w:tcPr>
          <w:p>
            <w:r>
              <w:rPr>
                <w:sz w:val="16"/>
              </w:rPr>
              <w:t>Chou demonstrates 2D/interface-parallel diffusion treatment; Gao and Si et al. use MSD linear fitting after mixing; Si et al. fit t &gt; 15 ps for Si/Gr composites [1,3,9].</w:t>
            </w:r>
          </w:p>
        </w:tc>
        <w:tc>
          <w:tcPr>
            <w:tcW w:type="dxa" w:w="2880"/>
            <w:vAlign w:val="top"/>
          </w:tcPr>
          <w:p>
            <w:pPr>
              <w:spacing w:after="0"/>
              <w:jc w:val="left"/>
            </w:pPr>
            <w:r>
              <w:rPr>
                <w:sz w:val="16"/>
              </w:rPr>
            </w:r>
            <w:r>
              <w:rPr>
                <w:b w:val="0"/>
                <w:sz w:val="16"/>
              </w:rPr>
              <w:t>Li MSD curves, D_A, D_B, D_B/D_A, direction-resolved MSD, fitting windows, and uncertainty. These are project results, not literature inputs.</w:t>
            </w:r>
          </w:p>
        </w:tc>
      </w:tr>
    </w:tbl>
    <w:p>
      <w:r>
        <w:rPr>
          <w:sz w:val="21"/>
        </w:rPr>
        <w:t>Interpretation rule: values in the literature-backed column justify starting choices. Values in the project-discovered column must not be filled in until the relevant simulation or analysis phase has passed its validation checks.</w:t>
      </w:r>
    </w:p>
    <w:p>
      <w:pPr>
        <w:pStyle w:val="Heading2"/>
      </w:pPr>
      <w:r>
        <w:rPr>
          <w:sz w:val="21"/>
        </w:rPr>
        <w:t>4.2 Repository structure</w:t>
      </w:r>
    </w:p>
    <w:p>
      <w:r>
        <w:rPr>
          <w:rFonts w:ascii="Courier New" w:hAnsi="Courier New" w:eastAsia="Courier New"/>
          <w:sz w:val="17"/>
        </w:rPr>
        <w:t>Li_Diffusion_Si_Graphene/</w:t>
        <w:br/>
        <w:t xml:space="preserve">  literature/        literature review, primary-source notes, references</w:t>
        <w:br/>
        <w:t xml:space="preserve">  force_fields/      ReaxFF parameter files and source notes</w:t>
        <w:br/>
        <w:t xml:space="preserve">  structures/        ASE builders and LAMMPS data/XYZ files</w:t>
        <w:br/>
        <w:t xml:space="preserve">  lammps_inputs/     input scripts for validation, minimization, equilibration, production</w:t>
        <w:br/>
        <w:t xml:space="preserve">  trajectories/      dump files and run outputs</w:t>
        <w:br/>
        <w:t xml:space="preserve">  logs/              LAMMPS log files and copied run summaries</w:t>
        <w:br/>
        <w:t xml:space="preserve">  analysis/          Python scripts for logs, MSD, fitting, plots</w:t>
        <w:br/>
        <w:t xml:space="preserve">  figures/           OVITO screenshots and final plots</w:t>
        <w:br/>
        <w:t xml:space="preserve">  docs/              workflow documentation</w:t>
        <w:br/>
        <w:t xml:space="preserve">  notes/             phase validation notes</w:t>
      </w:r>
    </w:p>
    <w:p>
      <w:pPr>
        <w:pStyle w:val="Heading1"/>
      </w:pPr>
      <w:r>
        <w:rPr>
          <w:sz w:val="21"/>
        </w:rPr>
        <w:t>5. Atomic Model Construction</w:t>
      </w:r>
    </w:p>
    <w:p>
      <w:r>
        <w:rPr>
          <w:sz w:val="21"/>
        </w:rPr>
        <w:t>Atomic structures will be generated with scripted Python/ASE workflows. Manual edits are avoided unless they are documented in notes and reproducible scripts.</w:t>
      </w:r>
    </w:p>
    <w:tbl>
      <w:tblPr>
        <w:tblStyle w:val="TableGrid"/>
        <w:tblW w:type="auto" w:w="0"/>
        <w:tblLayout w:type="autofit"/>
        <w:tblLook w:firstColumn="1" w:firstRow="1" w:lastColumn="0" w:lastRow="0" w:noHBand="0" w:noVBand="1" w:val="04A0"/>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2592"/>
        <w:gridCol w:w="2592"/>
        <w:gridCol w:w="2592"/>
        <w:gridCol w:w="2592"/>
      </w:tblGrid>
      <w:tr>
        <w:tc>
          <w:tcPr>
            <w:tcW w:type="dxa" w:w="1872"/>
            <w:shd w:fill="D9EAF7"/>
            <w:vAlign w:val="top"/>
          </w:tcPr>
          <w:p>
            <w:pPr>
              <w:spacing w:after="0"/>
            </w:pPr>
            <w:r>
              <w:rPr>
                <w:b/>
                <w:sz w:val="16"/>
              </w:rPr>
            </w:r>
            <w:r>
              <w:rPr>
                <w:b/>
                <w:color w:val="FFFFFF"/>
                <w:sz w:val="16"/>
              </w:rPr>
              <w:t>Parameter</w:t>
            </w:r>
          </w:p>
        </w:tc>
        <w:tc>
          <w:tcPr>
            <w:tcW w:type="dxa" w:w="3744"/>
            <w:shd w:fill="D9EAF7"/>
            <w:vAlign w:val="top"/>
          </w:tcPr>
          <w:p>
            <w:pPr>
              <w:spacing w:after="0"/>
            </w:pPr>
            <w:r>
              <w:rPr>
                <w:b/>
                <w:sz w:val="16"/>
              </w:rPr>
            </w:r>
            <w:r>
              <w:rPr>
                <w:b/>
                <w:color w:val="FFFFFF"/>
                <w:sz w:val="16"/>
              </w:rPr>
              <w:t>Refined method choice</w:t>
            </w:r>
          </w:p>
        </w:tc>
        <w:tc>
          <w:tcPr>
            <w:tcW w:type="dxa" w:w="2304"/>
            <w:shd w:fill="D9EAF7"/>
            <w:vAlign w:val="top"/>
          </w:tcPr>
          <w:p>
            <w:pPr>
              <w:spacing w:after="0"/>
            </w:pPr>
            <w:r>
              <w:rPr>
                <w:b/>
                <w:sz w:val="16"/>
              </w:rPr>
            </w:r>
            <w:r>
              <w:rPr>
                <w:b/>
                <w:color w:val="FFFFFF"/>
                <w:sz w:val="16"/>
              </w:rPr>
              <w:t>Literature anchor</w:t>
            </w:r>
          </w:p>
        </w:tc>
        <w:tc>
          <w:tcPr>
            <w:tcW w:type="dxa" w:w="2592"/>
            <w:shd w:fill="D9EAF7"/>
            <w:vAlign w:val="top"/>
          </w:tcPr>
          <w:p>
            <w:pPr>
              <w:spacing w:after="0"/>
            </w:pPr>
            <w:r>
              <w:rPr>
                <w:b/>
                <w:sz w:val="16"/>
              </w:rPr>
            </w:r>
            <w:r>
              <w:rPr>
                <w:b/>
                <w:color w:val="FFFFFF"/>
                <w:sz w:val="16"/>
              </w:rPr>
              <w:t>Project action</w:t>
            </w:r>
          </w:p>
        </w:tc>
      </w:tr>
      <w:tr>
        <w:tc>
          <w:tcPr>
            <w:tcW w:type="dxa" w:w="1872"/>
            <w:vAlign w:val="top"/>
          </w:tcPr>
          <w:p>
            <w:pPr>
              <w:spacing w:after="0"/>
            </w:pPr>
            <w:r>
              <w:rPr>
                <w:sz w:val="16"/>
              </w:rPr>
              <w:t>Graphene lattice constant</w:t>
            </w:r>
          </w:p>
        </w:tc>
        <w:tc>
          <w:tcPr>
            <w:tcW w:type="dxa" w:w="3744"/>
            <w:vAlign w:val="top"/>
          </w:tcPr>
          <w:p>
            <w:pPr>
              <w:spacing w:after="0"/>
            </w:pPr>
            <w:r>
              <w:rPr>
                <w:sz w:val="16"/>
              </w:rPr>
              <w:t>Use ASE default, record actual value; literature reference 2.467 A</w:t>
            </w:r>
          </w:p>
        </w:tc>
        <w:tc>
          <w:tcPr>
            <w:tcW w:type="dxa" w:w="2304"/>
            <w:vAlign w:val="top"/>
          </w:tcPr>
          <w:p>
            <w:pPr>
              <w:spacing w:after="0"/>
            </w:pPr>
            <w:r>
              <w:rPr>
                <w:sz w:val="16"/>
              </w:rPr>
              <w:t>Chou &amp; Hwang [1]</w:t>
            </w:r>
          </w:p>
        </w:tc>
        <w:tc>
          <w:tcPr>
            <w:tcW w:type="dxa" w:w="2592"/>
            <w:vAlign w:val="top"/>
          </w:tcPr>
          <w:p>
            <w:pPr>
              <w:spacing w:after="0"/>
            </w:pPr>
            <w:r>
              <w:rPr>
                <w:sz w:val="16"/>
              </w:rPr>
              <w:t>Confirm generated C-C bonds and box dimensions</w:t>
            </w:r>
          </w:p>
        </w:tc>
      </w:tr>
      <w:tr>
        <w:tc>
          <w:tcPr>
            <w:tcW w:type="dxa" w:w="1872"/>
            <w:vAlign w:val="top"/>
          </w:tcPr>
          <w:p>
            <w:pPr>
              <w:spacing w:after="0"/>
            </w:pPr>
            <w:r>
              <w:rPr>
                <w:sz w:val="16"/>
              </w:rPr>
              <w:t>Phase 2 graphene size</w:t>
            </w:r>
          </w:p>
        </w:tc>
        <w:tc>
          <w:tcPr>
            <w:tcW w:type="dxa" w:w="3744"/>
            <w:vAlign w:val="top"/>
          </w:tcPr>
          <w:p>
            <w:pPr>
              <w:spacing w:after="0"/>
            </w:pPr>
            <w:r>
              <w:rPr>
                <w:sz w:val="16"/>
              </w:rPr>
              <w:t>Use a small test sheet; 48-C sheet is a literature precedent, but Phase 2 may use any clearly documented test size</w:t>
            </w:r>
          </w:p>
        </w:tc>
        <w:tc>
          <w:tcPr>
            <w:tcW w:type="dxa" w:w="2304"/>
            <w:vAlign w:val="top"/>
          </w:tcPr>
          <w:p>
            <w:pPr>
              <w:spacing w:after="0"/>
            </w:pPr>
            <w:r>
              <w:rPr>
                <w:sz w:val="16"/>
              </w:rPr>
              <w:t>Chou &amp; Hwang [1]</w:t>
            </w:r>
          </w:p>
        </w:tc>
        <w:tc>
          <w:tcPr>
            <w:tcW w:type="dxa" w:w="2592"/>
            <w:vAlign w:val="top"/>
          </w:tcPr>
          <w:p>
            <w:pPr>
              <w:spacing w:after="0"/>
            </w:pPr>
            <w:r>
              <w:rPr>
                <w:sz w:val="16"/>
              </w:rPr>
              <w:t>Visual validation only; not final science model</w:t>
            </w:r>
          </w:p>
        </w:tc>
      </w:tr>
      <w:tr>
        <w:tc>
          <w:tcPr>
            <w:tcW w:type="dxa" w:w="1872"/>
            <w:vAlign w:val="top"/>
          </w:tcPr>
          <w:p>
            <w:pPr>
              <w:spacing w:after="0"/>
            </w:pPr>
            <w:r>
              <w:rPr>
                <w:sz w:val="16"/>
              </w:rPr>
              <w:t>Li starting height over graphene</w:t>
            </w:r>
          </w:p>
        </w:tc>
        <w:tc>
          <w:tcPr>
            <w:tcW w:type="dxa" w:w="3744"/>
            <w:vAlign w:val="top"/>
          </w:tcPr>
          <w:p>
            <w:pPr>
              <w:spacing w:after="0"/>
            </w:pPr>
            <w:r>
              <w:rPr>
                <w:sz w:val="16"/>
              </w:rPr>
              <w:t>Initial placement can use approx. 2.3 A as a literature-informed starting distance; avoid overlaps</w:t>
            </w:r>
          </w:p>
        </w:tc>
        <w:tc>
          <w:tcPr>
            <w:tcW w:type="dxa" w:w="2304"/>
            <w:vAlign w:val="top"/>
          </w:tcPr>
          <w:p>
            <w:pPr>
              <w:spacing w:after="0"/>
            </w:pPr>
            <w:r>
              <w:rPr>
                <w:sz w:val="16"/>
              </w:rPr>
              <w:t>Chou &amp; Hwang reported average Li-Gr distance around 2.3 A near interface [1]</w:t>
            </w:r>
          </w:p>
        </w:tc>
        <w:tc>
          <w:tcPr>
            <w:tcW w:type="dxa" w:w="2592"/>
            <w:vAlign w:val="top"/>
          </w:tcPr>
          <w:p>
            <w:pPr>
              <w:spacing w:after="0"/>
            </w:pPr>
            <w:r>
              <w:rPr>
                <w:sz w:val="16"/>
              </w:rPr>
              <w:t>Final Li positions after minimization are discovered</w:t>
            </w:r>
          </w:p>
        </w:tc>
      </w:tr>
      <w:tr>
        <w:tc>
          <w:tcPr>
            <w:tcW w:type="dxa" w:w="1872"/>
            <w:vAlign w:val="top"/>
          </w:tcPr>
          <w:p>
            <w:pPr>
              <w:spacing w:after="0"/>
            </w:pPr>
            <w:r>
              <w:rPr>
                <w:sz w:val="16"/>
              </w:rPr>
              <w:t>Si slab orientation</w:t>
            </w:r>
          </w:p>
        </w:tc>
        <w:tc>
          <w:tcPr>
            <w:tcW w:type="dxa" w:w="3744"/>
            <w:vAlign w:val="top"/>
          </w:tcPr>
          <w:p>
            <w:pPr>
              <w:spacing w:after="0"/>
            </w:pPr>
            <w:r>
              <w:rPr>
                <w:sz w:val="16"/>
              </w:rPr>
              <w:t>Recommended first publication-style choice: Si(111), because the defect benchmark uses Gr/Si on Si(111)</w:t>
            </w:r>
          </w:p>
        </w:tc>
        <w:tc>
          <w:tcPr>
            <w:tcW w:type="dxa" w:w="2304"/>
            <w:vAlign w:val="top"/>
          </w:tcPr>
          <w:p>
            <w:pPr>
              <w:spacing w:after="0"/>
            </w:pPr>
            <w:r>
              <w:rPr>
                <w:sz w:val="16"/>
              </w:rPr>
              <w:t>Qin et al. [2]</w:t>
            </w:r>
          </w:p>
        </w:tc>
        <w:tc>
          <w:tcPr>
            <w:tcW w:type="dxa" w:w="2592"/>
            <w:vAlign w:val="top"/>
          </w:tcPr>
          <w:p>
            <w:pPr>
              <w:spacing w:after="0"/>
            </w:pPr>
            <w:r>
              <w:rPr>
                <w:sz w:val="16"/>
              </w:rPr>
              <w:t>If Si(100) is chosen instead, justify as a separate design choice</w:t>
            </w:r>
          </w:p>
        </w:tc>
      </w:tr>
      <w:tr>
        <w:tc>
          <w:tcPr>
            <w:tcW w:type="dxa" w:w="1872"/>
            <w:vAlign w:val="top"/>
          </w:tcPr>
          <w:p>
            <w:pPr>
              <w:spacing w:after="0"/>
            </w:pPr>
            <w:r>
              <w:rPr>
                <w:sz w:val="16"/>
              </w:rPr>
              <w:t>Si slab size</w:t>
            </w:r>
          </w:p>
        </w:tc>
        <w:tc>
          <w:tcPr>
            <w:tcW w:type="dxa" w:w="3744"/>
            <w:vAlign w:val="top"/>
          </w:tcPr>
          <w:p>
            <w:pPr>
              <w:spacing w:after="0"/>
            </w:pPr>
            <w:r>
              <w:rPr>
                <w:sz w:val="16"/>
              </w:rPr>
              <w:t>Use a model commensurate with graphene; literature precedent is 4 x 4 Si(111) with two double atomic layers</w:t>
            </w:r>
          </w:p>
        </w:tc>
        <w:tc>
          <w:tcPr>
            <w:tcW w:type="dxa" w:w="2304"/>
            <w:vAlign w:val="top"/>
          </w:tcPr>
          <w:p>
            <w:pPr>
              <w:spacing w:after="0"/>
            </w:pPr>
            <w:r>
              <w:rPr>
                <w:sz w:val="16"/>
              </w:rPr>
              <w:t>Qin et al. [2]</w:t>
            </w:r>
          </w:p>
        </w:tc>
        <w:tc>
          <w:tcPr>
            <w:tcW w:type="dxa" w:w="2592"/>
            <w:vAlign w:val="top"/>
          </w:tcPr>
          <w:p>
            <w:pPr>
              <w:spacing w:after="0"/>
            </w:pPr>
            <w:r>
              <w:rPr>
                <w:sz w:val="16"/>
              </w:rPr>
              <w:t>Final size depends on LAMMPS cost and matching</w:t>
            </w:r>
          </w:p>
        </w:tc>
      </w:tr>
      <w:tr>
        <w:tc>
          <w:tcPr>
            <w:tcW w:type="dxa" w:w="1872"/>
            <w:vAlign w:val="top"/>
          </w:tcPr>
          <w:p>
            <w:pPr>
              <w:spacing w:after="0"/>
            </w:pPr>
            <w:r>
              <w:rPr>
                <w:sz w:val="16"/>
              </w:rPr>
              <w:t>Graphene-Si separation</w:t>
            </w:r>
          </w:p>
        </w:tc>
        <w:tc>
          <w:tcPr>
            <w:tcW w:type="dxa" w:w="3744"/>
            <w:vAlign w:val="top"/>
          </w:tcPr>
          <w:p>
            <w:pPr>
              <w:spacing w:after="0"/>
            </w:pPr>
            <w:r>
              <w:rPr>
                <w:sz w:val="16"/>
              </w:rPr>
              <w:t>Start at approx. 2 A before relaxation or use relaxed spacing from structure builder</w:t>
            </w:r>
          </w:p>
        </w:tc>
        <w:tc>
          <w:tcPr>
            <w:tcW w:type="dxa" w:w="2304"/>
            <w:vAlign w:val="top"/>
          </w:tcPr>
          <w:p>
            <w:pPr>
              <w:spacing w:after="0"/>
            </w:pPr>
            <w:r>
              <w:rPr>
                <w:sz w:val="16"/>
              </w:rPr>
              <w:t>Chou &amp; Hwang [1]</w:t>
            </w:r>
          </w:p>
        </w:tc>
        <w:tc>
          <w:tcPr>
            <w:tcW w:type="dxa" w:w="2592"/>
            <w:vAlign w:val="top"/>
          </w:tcPr>
          <w:p>
            <w:pPr>
              <w:spacing w:after="0"/>
            </w:pPr>
            <w:r>
              <w:rPr>
                <w:sz w:val="16"/>
              </w:rPr>
              <w:t>Final spacing after minimization is project-generated</w:t>
            </w:r>
          </w:p>
        </w:tc>
      </w:tr>
      <w:tr>
        <w:tc>
          <w:tcPr>
            <w:tcW w:type="dxa" w:w="1872"/>
            <w:vAlign w:val="top"/>
          </w:tcPr>
          <w:p>
            <w:pPr>
              <w:spacing w:after="0"/>
            </w:pPr>
            <w:r>
              <w:rPr>
                <w:sz w:val="16"/>
              </w:rPr>
              <w:t>Vacuum / z dimension</w:t>
            </w:r>
          </w:p>
        </w:tc>
        <w:tc>
          <w:tcPr>
            <w:tcW w:type="dxa" w:w="3744"/>
            <w:vAlign w:val="top"/>
          </w:tcPr>
          <w:p>
            <w:pPr>
              <w:spacing w:after="0"/>
            </w:pPr>
            <w:r>
              <w:rPr>
                <w:sz w:val="16"/>
              </w:rPr>
              <w:t>Use at least 18 A slab vacuum for initial periodic-z tests; 20 A for isolated graphene tests</w:t>
            </w:r>
          </w:p>
        </w:tc>
        <w:tc>
          <w:tcPr>
            <w:tcW w:type="dxa" w:w="2304"/>
            <w:vAlign w:val="top"/>
          </w:tcPr>
          <w:p>
            <w:pPr>
              <w:spacing w:after="0"/>
            </w:pPr>
            <w:r>
              <w:rPr>
                <w:sz w:val="16"/>
              </w:rPr>
              <w:t>Qin et al. [2]</w:t>
            </w:r>
          </w:p>
        </w:tc>
        <w:tc>
          <w:tcPr>
            <w:tcW w:type="dxa" w:w="2592"/>
            <w:vAlign w:val="top"/>
          </w:tcPr>
          <w:p>
            <w:pPr>
              <w:spacing w:after="0"/>
            </w:pPr>
            <w:r>
              <w:rPr>
                <w:sz w:val="16"/>
              </w:rPr>
              <w:t>May be adjusted based on boundary conditions</w:t>
            </w:r>
          </w:p>
        </w:tc>
      </w:tr>
      <w:tr>
        <w:tc>
          <w:tcPr>
            <w:tcW w:type="dxa" w:w="1872"/>
            <w:vAlign w:val="top"/>
          </w:tcPr>
          <w:p>
            <w:pPr>
              <w:spacing w:after="0"/>
            </w:pPr>
            <w:r>
              <w:rPr>
                <w:sz w:val="16"/>
              </w:rPr>
              <w:t>Defect construction</w:t>
            </w:r>
          </w:p>
        </w:tc>
        <w:tc>
          <w:tcPr>
            <w:tcW w:type="dxa" w:w="3744"/>
            <w:vAlign w:val="top"/>
          </w:tcPr>
          <w:p>
            <w:pPr>
              <w:spacing w:after="0"/>
            </w:pPr>
            <w:r>
              <w:rPr>
                <w:sz w:val="16"/>
              </w:rPr>
              <w:t>Remove one central C atom for SV; keep all other variables identical to Model A</w:t>
            </w:r>
          </w:p>
        </w:tc>
        <w:tc>
          <w:tcPr>
            <w:tcW w:type="dxa" w:w="2304"/>
            <w:vAlign w:val="top"/>
          </w:tcPr>
          <w:p>
            <w:pPr>
              <w:spacing w:after="0"/>
            </w:pPr>
            <w:r>
              <w:rPr>
                <w:sz w:val="16"/>
              </w:rPr>
              <w:t>Qin et al. [2]</w:t>
            </w:r>
          </w:p>
        </w:tc>
        <w:tc>
          <w:tcPr>
            <w:tcW w:type="dxa" w:w="2592"/>
            <w:vAlign w:val="top"/>
          </w:tcPr>
          <w:p>
            <w:pPr>
              <w:spacing w:after="0"/>
            </w:pPr>
            <w:r>
              <w:rPr>
                <w:sz w:val="16"/>
              </w:rPr>
              <w:t>Record removed atom ID/index and defect coordinates</w:t>
            </w:r>
          </w:p>
        </w:tc>
      </w:tr>
      <w:tr>
        <w:tc>
          <w:tcPr>
            <w:tcW w:type="dxa" w:w="1872"/>
            <w:vAlign w:val="top"/>
          </w:tcPr>
          <w:p>
            <w:pPr>
              <w:spacing w:after="0"/>
            </w:pPr>
            <w:r>
              <w:rPr>
                <w:sz w:val="16"/>
              </w:rPr>
              <w:t>DV5-8-5 optional model</w:t>
            </w:r>
          </w:p>
        </w:tc>
        <w:tc>
          <w:tcPr>
            <w:tcW w:type="dxa" w:w="3744"/>
            <w:vAlign w:val="top"/>
          </w:tcPr>
          <w:p>
            <w:pPr>
              <w:spacing w:after="0"/>
            </w:pPr>
            <w:r>
              <w:rPr>
                <w:sz w:val="16"/>
              </w:rPr>
              <w:t>Construct only after Model A and B pass; use established topology</w:t>
            </w:r>
          </w:p>
        </w:tc>
        <w:tc>
          <w:tcPr>
            <w:tcW w:type="dxa" w:w="2304"/>
            <w:vAlign w:val="top"/>
          </w:tcPr>
          <w:p>
            <w:pPr>
              <w:spacing w:after="0"/>
            </w:pPr>
            <w:r>
              <w:rPr>
                <w:sz w:val="16"/>
              </w:rPr>
              <w:t>Qin et al. [2]</w:t>
            </w:r>
          </w:p>
        </w:tc>
        <w:tc>
          <w:tcPr>
            <w:tcW w:type="dxa" w:w="2592"/>
            <w:vAlign w:val="top"/>
          </w:tcPr>
          <w:p>
            <w:pPr>
              <w:spacing w:after="0"/>
            </w:pPr>
            <w:r>
              <w:rPr>
                <w:sz w:val="16"/>
              </w:rPr>
              <w:t>Optional extension</w:t>
            </w:r>
          </w:p>
        </w:tc>
      </w:tr>
      <w:tr>
        <w:tc>
          <w:tcPr>
            <w:tcW w:type="dxa" w:w="2592"/>
            <w:vAlign w:val="top"/>
          </w:tcPr>
          <w:p>
            <w:r>
              <w:rPr>
                <w:sz w:val="16"/>
              </w:rPr>
              <w:t>Direct Si/Gr AIMD benchmark geometry</w:t>
            </w:r>
          </w:p>
        </w:tc>
        <w:tc>
          <w:tcPr>
            <w:tcW w:type="dxa" w:w="2592"/>
            <w:vAlign w:val="top"/>
          </w:tcPr>
          <w:p>
            <w:r>
              <w:rPr>
                <w:sz w:val="16"/>
              </w:rPr>
              <w:t>Optional geometry anchor: Si(111), 10-layer substrate, 6.59 x 6.59 A cell, 30 Si and 30 Li; p-Gr/SV/DV5-8-5 C counts = 14/13/12; initial Gr-Si gap = 1.5 A; 14 A vacuum.</w:t>
            </w:r>
          </w:p>
        </w:tc>
        <w:tc>
          <w:tcPr>
            <w:tcW w:type="dxa" w:w="2592"/>
            <w:vAlign w:val="top"/>
          </w:tcPr>
          <w:p>
            <w:r>
              <w:rPr>
                <w:sz w:val="16"/>
              </w:rPr>
              <w:t>Si et al. [9]</w:t>
            </w:r>
          </w:p>
        </w:tc>
        <w:tc>
          <w:tcPr>
            <w:tcW w:type="dxa" w:w="2592"/>
            <w:vAlign w:val="top"/>
          </w:tcPr>
          <w:p>
            <w:r>
              <w:rPr>
                <w:sz w:val="16"/>
              </w:rPr>
              <w:t>Use only if choosing to closely benchmark the 2025 AIMD study; otherwise use as a comparator and document deviations.</w:t>
            </w:r>
          </w:p>
        </w:tc>
      </w:tr>
    </w:tbl>
    <w:p/>
    <w:p>
      <w:pPr>
        <w:pStyle w:val="Heading1"/>
      </w:pPr>
      <w:r>
        <w:rPr>
          <w:sz w:val="21"/>
        </w:rPr>
        <w:t>6. Force-Field Strategy</w:t>
      </w:r>
    </w:p>
    <w:p>
      <w:r>
        <w:rPr>
          <w:sz w:val="21"/>
        </w:rPr>
        <w:t>The final systems require Li-Li, Si-Si, C-C, Li-Si, Li-C, and Si-C interactions. The production force field must therefore be a ternary Li-Si-C potential rather than an unsupported mixture of unrelated subsystem potentials.</w:t>
      </w:r>
    </w:p>
    <w:tbl>
      <w:tblPr>
        <w:tblStyle w:val="TableGrid"/>
        <w:tblW w:type="auto" w:w="0"/>
        <w:tblLayout w:type="autofit"/>
        <w:tblLook w:firstColumn="1" w:firstRow="1" w:lastColumn="0" w:lastRow="0" w:noHBand="0" w:noVBand="1" w:val="04A0"/>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2592"/>
        <w:gridCol w:w="2592"/>
        <w:gridCol w:w="2592"/>
        <w:gridCol w:w="2592"/>
      </w:tblGrid>
      <w:tr>
        <w:tc>
          <w:tcPr>
            <w:tcW w:type="dxa" w:w="3168"/>
            <w:shd w:fill="D9EAF7"/>
            <w:vAlign w:val="top"/>
          </w:tcPr>
          <w:p>
            <w:pPr>
              <w:spacing w:after="0"/>
            </w:pPr>
            <w:r>
              <w:rPr>
                <w:b/>
                <w:sz w:val="16"/>
              </w:rPr>
            </w:r>
            <w:r>
              <w:rPr>
                <w:b/>
                <w:color w:val="FFFFFF"/>
                <w:sz w:val="16"/>
              </w:rPr>
              <w:t>Force-field option</w:t>
            </w:r>
          </w:p>
        </w:tc>
        <w:tc>
          <w:tcPr>
            <w:tcW w:type="dxa" w:w="2304"/>
            <w:shd w:fill="D9EAF7"/>
            <w:vAlign w:val="top"/>
          </w:tcPr>
          <w:p>
            <w:pPr>
              <w:spacing w:after="0"/>
            </w:pPr>
            <w:r>
              <w:rPr>
                <w:b/>
                <w:sz w:val="16"/>
              </w:rPr>
            </w:r>
            <w:r>
              <w:rPr>
                <w:b/>
                <w:color w:val="FFFFFF"/>
                <w:sz w:val="16"/>
              </w:rPr>
              <w:t>Role</w:t>
            </w:r>
          </w:p>
        </w:tc>
        <w:tc>
          <w:tcPr>
            <w:tcW w:type="dxa" w:w="3888"/>
            <w:shd w:fill="D9EAF7"/>
            <w:vAlign w:val="top"/>
          </w:tcPr>
          <w:p>
            <w:pPr>
              <w:spacing w:after="0"/>
            </w:pPr>
            <w:r>
              <w:rPr>
                <w:b/>
                <w:sz w:val="16"/>
              </w:rPr>
            </w:r>
            <w:r>
              <w:rPr>
                <w:b/>
                <w:color w:val="FFFFFF"/>
                <w:sz w:val="16"/>
              </w:rPr>
              <w:t>Required documentation</w:t>
            </w:r>
          </w:p>
        </w:tc>
        <w:tc>
          <w:tcPr>
            <w:tcW w:type="dxa" w:w="1296"/>
            <w:shd w:fill="D9EAF7"/>
            <w:vAlign w:val="top"/>
          </w:tcPr>
          <w:p>
            <w:pPr>
              <w:spacing w:after="0"/>
            </w:pPr>
            <w:r>
              <w:rPr>
                <w:b/>
                <w:sz w:val="16"/>
              </w:rPr>
            </w:r>
            <w:r>
              <w:rPr>
                <w:b/>
                <w:color w:val="FFFFFF"/>
                <w:sz w:val="16"/>
              </w:rPr>
              <w:t>Status</w:t>
            </w:r>
          </w:p>
        </w:tc>
      </w:tr>
      <w:tr>
        <w:tc>
          <w:tcPr>
            <w:tcW w:type="dxa" w:w="3168"/>
            <w:vAlign w:val="top"/>
          </w:tcPr>
          <w:p>
            <w:pPr>
              <w:spacing w:after="0"/>
            </w:pPr>
            <w:r>
              <w:rPr>
                <w:sz w:val="16"/>
              </w:rPr>
              <w:t>Li-Si-C ReaxFF from Olou'ou Guifo et al. 2023</w:t>
            </w:r>
          </w:p>
        </w:tc>
        <w:tc>
          <w:tcPr>
            <w:tcW w:type="dxa" w:w="2304"/>
            <w:vAlign w:val="top"/>
          </w:tcPr>
          <w:p>
            <w:pPr>
              <w:spacing w:after="0"/>
            </w:pPr>
            <w:r>
              <w:rPr>
                <w:sz w:val="16"/>
              </w:rPr>
              <w:t>Primary production candidate</w:t>
            </w:r>
          </w:p>
        </w:tc>
        <w:tc>
          <w:tcPr>
            <w:tcW w:type="dxa" w:w="3888"/>
            <w:vAlign w:val="top"/>
          </w:tcPr>
          <w:p>
            <w:pPr>
              <w:spacing w:after="0"/>
            </w:pPr>
            <w:r>
              <w:rPr>
                <w:sz w:val="16"/>
              </w:rPr>
              <w:t>Exact file name; source DOI or repository; atom order; pair_coeff mapping; any control file; version/date</w:t>
            </w:r>
          </w:p>
        </w:tc>
        <w:tc>
          <w:tcPr>
            <w:tcW w:type="dxa" w:w="1296"/>
            <w:vAlign w:val="top"/>
          </w:tcPr>
          <w:p>
            <w:pPr>
              <w:spacing w:after="0"/>
            </w:pPr>
            <w:r>
              <w:rPr>
                <w:sz w:val="16"/>
              </w:rPr>
              <w:t>Literature-supported; file pending</w:t>
            </w:r>
          </w:p>
        </w:tc>
      </w:tr>
      <w:tr>
        <w:tc>
          <w:tcPr>
            <w:tcW w:type="dxa" w:w="3168"/>
            <w:vAlign w:val="top"/>
          </w:tcPr>
          <w:p>
            <w:pPr>
              <w:spacing w:after="0"/>
            </w:pPr>
            <w:r>
              <w:rPr>
                <w:sz w:val="16"/>
              </w:rPr>
              <w:t>Li/C ReaxFF</w:t>
            </w:r>
          </w:p>
        </w:tc>
        <w:tc>
          <w:tcPr>
            <w:tcW w:type="dxa" w:w="2304"/>
            <w:vAlign w:val="top"/>
          </w:tcPr>
          <w:p>
            <w:pPr>
              <w:spacing w:after="0"/>
            </w:pPr>
            <w:r>
              <w:rPr>
                <w:sz w:val="16"/>
              </w:rPr>
              <w:t>Auxiliary carbon-side check only</w:t>
            </w:r>
          </w:p>
        </w:tc>
        <w:tc>
          <w:tcPr>
            <w:tcW w:type="dxa" w:w="3888"/>
            <w:vAlign w:val="top"/>
          </w:tcPr>
          <w:p>
            <w:pPr>
              <w:spacing w:after="0"/>
            </w:pPr>
            <w:r>
              <w:rPr>
                <w:sz w:val="16"/>
              </w:rPr>
              <w:t>File/source if used; not valid for full Si-containing interface</w:t>
            </w:r>
          </w:p>
        </w:tc>
        <w:tc>
          <w:tcPr>
            <w:tcW w:type="dxa" w:w="1296"/>
            <w:vAlign w:val="top"/>
          </w:tcPr>
          <w:p>
            <w:pPr>
              <w:spacing w:after="0"/>
            </w:pPr>
            <w:r>
              <w:rPr>
                <w:sz w:val="16"/>
              </w:rPr>
              <w:t>Optional</w:t>
            </w:r>
          </w:p>
        </w:tc>
      </w:tr>
      <w:tr>
        <w:tc>
          <w:tcPr>
            <w:tcW w:type="dxa" w:w="3168"/>
            <w:vAlign w:val="top"/>
          </w:tcPr>
          <w:p>
            <w:pPr>
              <w:spacing w:after="0"/>
            </w:pPr>
            <w:r>
              <w:rPr>
                <w:sz w:val="16"/>
              </w:rPr>
              <w:t>Li/Si force field</w:t>
            </w:r>
          </w:p>
        </w:tc>
        <w:tc>
          <w:tcPr>
            <w:tcW w:type="dxa" w:w="2304"/>
            <w:vAlign w:val="top"/>
          </w:tcPr>
          <w:p>
            <w:pPr>
              <w:spacing w:after="0"/>
            </w:pPr>
            <w:r>
              <w:rPr>
                <w:sz w:val="16"/>
              </w:rPr>
              <w:t>Auxiliary pure-silicon check only</w:t>
            </w:r>
          </w:p>
        </w:tc>
        <w:tc>
          <w:tcPr>
            <w:tcW w:type="dxa" w:w="3888"/>
            <w:vAlign w:val="top"/>
          </w:tcPr>
          <w:p>
            <w:pPr>
              <w:spacing w:after="0"/>
            </w:pPr>
            <w:r>
              <w:rPr>
                <w:sz w:val="16"/>
              </w:rPr>
              <w:t>File/source if used; not valid for full C-containing interface</w:t>
            </w:r>
          </w:p>
        </w:tc>
        <w:tc>
          <w:tcPr>
            <w:tcW w:type="dxa" w:w="1296"/>
            <w:vAlign w:val="top"/>
          </w:tcPr>
          <w:p>
            <w:pPr>
              <w:spacing w:after="0"/>
            </w:pPr>
            <w:r>
              <w:rPr>
                <w:sz w:val="16"/>
              </w:rPr>
              <w:t>Optional</w:t>
            </w:r>
          </w:p>
        </w:tc>
      </w:tr>
    </w:tbl>
    <w:p/>
    <w:tbl>
      <w:tblPr>
        <w:tblW w:type="auto" w:w="0"/>
        <w:tblLayout w:type="autofit"/>
        <w:tblLook w:firstColumn="1" w:firstRow="1" w:lastColumn="0" w:lastRow="0" w:noHBand="0" w:noVBand="1" w:val="04A0"/>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10368"/>
      </w:tblGrid>
      <w:tr>
        <w:tc>
          <w:tcPr>
            <w:tcW w:type="dxa" w:w="10368"/>
            <w:shd w:fill="D9EAF7"/>
            <w:vAlign w:val="top"/>
          </w:tcPr>
          <w:p>
            <w:pPr>
              <w:spacing w:after="0"/>
            </w:pPr>
            <w:r>
              <w:rPr>
                <w:b/>
                <w:sz w:val="16"/>
              </w:rPr>
            </w:r>
            <w:r>
              <w:rPr>
                <w:b/>
                <w:sz w:val="16"/>
              </w:rPr>
              <w:t xml:space="preserve">LAMMPS ReaxFF requirement: </w:t>
            </w:r>
            <w:r>
              <w:rPr>
                <w:b/>
                <w:sz w:val="16"/>
              </w:rPr>
              <w:t>Use atom_style charge or an equivalent per-atom charge property. With pair_style reaxff, LAMMPS expects charge equilibration by default; the Phase 3 input script should include a qeq/reaxff-type fix unless there is a documented reason not to use it.</w:t>
            </w:r>
          </w:p>
        </w:tc>
      </w:tr>
    </w:tbl>
    <w:p/>
    <w:p>
      <w:pPr>
        <w:pStyle w:val="Heading1"/>
      </w:pPr>
      <w:r>
        <w:rPr>
          <w:sz w:val="21"/>
        </w:rPr>
        <w:t>7. Molecular Dynamics Protocol</w:t>
      </w:r>
    </w:p>
    <w:p>
      <w:r>
        <w:rPr>
          <w:sz w:val="21"/>
        </w:rPr>
        <w:t>Production MD begins only after structure validation and ReaxFF validation. The sequence is energy minimization, NVT equilibration, then production NVT dynamics. Model A and Model B must use the same protocol.</w:t>
      </w:r>
    </w:p>
    <w:tbl>
      <w:tblPr>
        <w:tblStyle w:val="TableGrid"/>
        <w:tblW w:type="auto" w:w="0"/>
        <w:tblLayout w:type="autofit"/>
        <w:tblLook w:firstColumn="1" w:firstRow="1" w:lastColumn="0" w:lastRow="0" w:noHBand="0" w:noVBand="1" w:val="04A0"/>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2592"/>
        <w:gridCol w:w="2592"/>
        <w:gridCol w:w="2592"/>
        <w:gridCol w:w="2592"/>
      </w:tblGrid>
      <w:tr>
        <w:tc>
          <w:tcPr>
            <w:tcW w:type="dxa" w:w="2016"/>
            <w:shd w:fill="D9EAF7"/>
            <w:vAlign w:val="top"/>
          </w:tcPr>
          <w:p>
            <w:pPr>
              <w:spacing w:after="0"/>
            </w:pPr>
            <w:r>
              <w:rPr>
                <w:b/>
                <w:sz w:val="16"/>
              </w:rPr>
            </w:r>
            <w:r>
              <w:rPr>
                <w:b/>
                <w:color w:val="FFFFFF"/>
                <w:sz w:val="16"/>
              </w:rPr>
              <w:t>Stage</w:t>
            </w:r>
          </w:p>
        </w:tc>
        <w:tc>
          <w:tcPr>
            <w:tcW w:type="dxa" w:w="2880"/>
            <w:shd w:fill="D9EAF7"/>
            <w:vAlign w:val="top"/>
          </w:tcPr>
          <w:p>
            <w:pPr>
              <w:spacing w:after="0"/>
            </w:pPr>
            <w:r>
              <w:rPr>
                <w:b/>
                <w:sz w:val="16"/>
              </w:rPr>
            </w:r>
            <w:r>
              <w:rPr>
                <w:b/>
                <w:color w:val="FFFFFF"/>
                <w:sz w:val="16"/>
              </w:rPr>
              <w:t>Purpose</w:t>
            </w:r>
          </w:p>
        </w:tc>
        <w:tc>
          <w:tcPr>
            <w:tcW w:type="dxa" w:w="3456"/>
            <w:shd w:fill="D9EAF7"/>
            <w:vAlign w:val="top"/>
          </w:tcPr>
          <w:p>
            <w:pPr>
              <w:spacing w:after="0"/>
            </w:pPr>
            <w:r>
              <w:rPr>
                <w:b/>
                <w:sz w:val="16"/>
              </w:rPr>
            </w:r>
            <w:r>
              <w:rPr>
                <w:b/>
                <w:color w:val="FFFFFF"/>
                <w:sz w:val="16"/>
              </w:rPr>
              <w:t>Acceptance check</w:t>
            </w:r>
          </w:p>
        </w:tc>
        <w:tc>
          <w:tcPr>
            <w:tcW w:type="dxa" w:w="2304"/>
            <w:shd w:fill="D9EAF7"/>
            <w:vAlign w:val="top"/>
          </w:tcPr>
          <w:p>
            <w:pPr>
              <w:spacing w:after="0"/>
            </w:pPr>
            <w:r>
              <w:rPr>
                <w:b/>
                <w:sz w:val="16"/>
              </w:rPr>
            </w:r>
            <w:r>
              <w:rPr>
                <w:b/>
                <w:color w:val="FFFFFF"/>
                <w:sz w:val="16"/>
              </w:rPr>
              <w:t>Failure response</w:t>
            </w:r>
          </w:p>
        </w:tc>
      </w:tr>
      <w:tr>
        <w:tc>
          <w:tcPr>
            <w:tcW w:type="dxa" w:w="2016"/>
            <w:vAlign w:val="top"/>
          </w:tcPr>
          <w:p>
            <w:pPr>
              <w:spacing w:after="0"/>
            </w:pPr>
            <w:r>
              <w:rPr>
                <w:sz w:val="16"/>
              </w:rPr>
              <w:t>Energy minimization</w:t>
            </w:r>
          </w:p>
        </w:tc>
        <w:tc>
          <w:tcPr>
            <w:tcW w:type="dxa" w:w="2880"/>
            <w:vAlign w:val="top"/>
          </w:tcPr>
          <w:p>
            <w:pPr>
              <w:spacing w:after="0"/>
            </w:pPr>
            <w:r>
              <w:rPr>
                <w:sz w:val="16"/>
              </w:rPr>
              <w:t>Remove bad contacts and relax initial geometry</w:t>
            </w:r>
          </w:p>
        </w:tc>
        <w:tc>
          <w:tcPr>
            <w:tcW w:type="dxa" w:w="3456"/>
            <w:vAlign w:val="top"/>
          </w:tcPr>
          <w:p>
            <w:pPr>
              <w:spacing w:after="0"/>
            </w:pPr>
            <w:r>
              <w:rPr>
                <w:sz w:val="16"/>
              </w:rPr>
              <w:t>Energy decreases; no atom collapse; reasonable final interface spacing</w:t>
            </w:r>
          </w:p>
        </w:tc>
        <w:tc>
          <w:tcPr>
            <w:tcW w:type="dxa" w:w="2304"/>
            <w:vAlign w:val="top"/>
          </w:tcPr>
          <w:p>
            <w:pPr>
              <w:spacing w:after="0"/>
            </w:pPr>
            <w:r>
              <w:rPr>
                <w:sz w:val="16"/>
              </w:rPr>
              <w:t>Fix overlaps, spacing, atom types, boundaries</w:t>
            </w:r>
          </w:p>
        </w:tc>
      </w:tr>
      <w:tr>
        <w:tc>
          <w:tcPr>
            <w:tcW w:type="dxa" w:w="2016"/>
            <w:vAlign w:val="top"/>
          </w:tcPr>
          <w:p>
            <w:pPr>
              <w:spacing w:after="0"/>
            </w:pPr>
            <w:r>
              <w:rPr>
                <w:sz w:val="16"/>
              </w:rPr>
              <w:t>Short ReaxFF/QEq test</w:t>
            </w:r>
          </w:p>
        </w:tc>
        <w:tc>
          <w:tcPr>
            <w:tcW w:type="dxa" w:w="2880"/>
            <w:vAlign w:val="top"/>
          </w:tcPr>
          <w:p>
            <w:pPr>
              <w:spacing w:after="0"/>
            </w:pPr>
            <w:r>
              <w:rPr>
                <w:sz w:val="16"/>
              </w:rPr>
              <w:t>Check force-field loading and charge equilibration</w:t>
            </w:r>
          </w:p>
        </w:tc>
        <w:tc>
          <w:tcPr>
            <w:tcW w:type="dxa" w:w="3456"/>
            <w:vAlign w:val="top"/>
          </w:tcPr>
          <w:p>
            <w:pPr>
              <w:spacing w:after="0"/>
            </w:pPr>
            <w:r>
              <w:rPr>
                <w:sz w:val="16"/>
              </w:rPr>
              <w:t>No immediate crash; charge values finite; no atom explosion</w:t>
            </w:r>
          </w:p>
        </w:tc>
        <w:tc>
          <w:tcPr>
            <w:tcW w:type="dxa" w:w="2304"/>
            <w:vAlign w:val="top"/>
          </w:tcPr>
          <w:p>
            <w:pPr>
              <w:spacing w:after="0"/>
            </w:pPr>
            <w:r>
              <w:rPr>
                <w:sz w:val="16"/>
              </w:rPr>
              <w:t>Correct atom mapping, qeq settings, timestep</w:t>
            </w:r>
          </w:p>
        </w:tc>
      </w:tr>
      <w:tr>
        <w:tc>
          <w:tcPr>
            <w:tcW w:type="dxa" w:w="2016"/>
            <w:vAlign w:val="top"/>
          </w:tcPr>
          <w:p>
            <w:pPr>
              <w:spacing w:after="0"/>
            </w:pPr>
            <w:r>
              <w:rPr>
                <w:sz w:val="16"/>
              </w:rPr>
              <w:t>NVT equilibration</w:t>
            </w:r>
          </w:p>
        </w:tc>
        <w:tc>
          <w:tcPr>
            <w:tcW w:type="dxa" w:w="2880"/>
            <w:vAlign w:val="top"/>
          </w:tcPr>
          <w:p>
            <w:pPr>
              <w:spacing w:after="0"/>
            </w:pPr>
            <w:r>
              <w:rPr>
                <w:sz w:val="16"/>
              </w:rPr>
              <w:t>Bring model to chosen temperature</w:t>
            </w:r>
          </w:p>
        </w:tc>
        <w:tc>
          <w:tcPr>
            <w:tcW w:type="dxa" w:w="3456"/>
            <w:vAlign w:val="top"/>
          </w:tcPr>
          <w:p>
            <w:pPr>
              <w:spacing w:after="0"/>
            </w:pPr>
            <w:r>
              <w:rPr>
                <w:sz w:val="16"/>
              </w:rPr>
              <w:t>Temperature fluctuates around target; structure remains interpretable</w:t>
            </w:r>
          </w:p>
        </w:tc>
        <w:tc>
          <w:tcPr>
            <w:tcW w:type="dxa" w:w="2304"/>
            <w:vAlign w:val="top"/>
          </w:tcPr>
          <w:p>
            <w:pPr>
              <w:spacing w:after="0"/>
            </w:pPr>
            <w:r>
              <w:rPr>
                <w:sz w:val="16"/>
              </w:rPr>
              <w:t>Reduce timestep; adjust thermostat damping</w:t>
            </w:r>
          </w:p>
        </w:tc>
      </w:tr>
      <w:tr>
        <w:tc>
          <w:tcPr>
            <w:tcW w:type="dxa" w:w="2016"/>
            <w:vAlign w:val="top"/>
          </w:tcPr>
          <w:p>
            <w:pPr>
              <w:spacing w:after="0"/>
            </w:pPr>
            <w:r>
              <w:rPr>
                <w:sz w:val="16"/>
              </w:rPr>
              <w:t>Production NVT</w:t>
            </w:r>
          </w:p>
        </w:tc>
        <w:tc>
          <w:tcPr>
            <w:tcW w:type="dxa" w:w="2880"/>
            <w:vAlign w:val="top"/>
          </w:tcPr>
          <w:p>
            <w:pPr>
              <w:spacing w:after="0"/>
            </w:pPr>
            <w:r>
              <w:rPr>
                <w:sz w:val="16"/>
              </w:rPr>
              <w:t>Collect trajectory for Li diffusion</w:t>
            </w:r>
          </w:p>
        </w:tc>
        <w:tc>
          <w:tcPr>
            <w:tcW w:type="dxa" w:w="3456"/>
            <w:vAlign w:val="top"/>
          </w:tcPr>
          <w:p>
            <w:pPr>
              <w:spacing w:after="0"/>
            </w:pPr>
            <w:r>
              <w:rPr>
                <w:sz w:val="16"/>
              </w:rPr>
              <w:t>Trajectory stable; Li MSD shows analyzable growth</w:t>
            </w:r>
          </w:p>
        </w:tc>
        <w:tc>
          <w:tcPr>
            <w:tcW w:type="dxa" w:w="2304"/>
            <w:vAlign w:val="top"/>
          </w:tcPr>
          <w:p>
            <w:pPr>
              <w:spacing w:after="0"/>
            </w:pPr>
            <w:r>
              <w:rPr>
                <w:sz w:val="16"/>
              </w:rPr>
              <w:t>Extend run, repeat, or adjust simulation conditions</w:t>
            </w:r>
          </w:p>
        </w:tc>
      </w:tr>
    </w:tbl>
    <w:p/>
    <w:tbl>
      <w:tblPr>
        <w:tblStyle w:val="TableGrid"/>
        <w:tblW w:type="auto" w:w="0"/>
        <w:tblLayout w:type="autofit"/>
        <w:tblLook w:firstColumn="1" w:firstRow="1" w:lastColumn="0" w:lastRow="0" w:noHBand="0" w:noVBand="1" w:val="04A0"/>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2592"/>
        <w:gridCol w:w="2592"/>
        <w:gridCol w:w="2592"/>
        <w:gridCol w:w="2592"/>
      </w:tblGrid>
      <w:tr>
        <w:tc>
          <w:tcPr>
            <w:tcW w:type="dxa" w:w="1872"/>
            <w:shd w:fill="D9EAF7"/>
            <w:vAlign w:val="top"/>
          </w:tcPr>
          <w:p>
            <w:pPr>
              <w:spacing w:after="0"/>
            </w:pPr>
            <w:r>
              <w:rPr>
                <w:b/>
                <w:sz w:val="16"/>
              </w:rPr>
            </w:r>
            <w:r>
              <w:rPr>
                <w:b/>
                <w:color w:val="FFFFFF"/>
                <w:sz w:val="16"/>
              </w:rPr>
              <w:t>MD parameter</w:t>
            </w:r>
          </w:p>
        </w:tc>
        <w:tc>
          <w:tcPr>
            <w:tcW w:type="dxa" w:w="2880"/>
            <w:shd w:fill="D9EAF7"/>
            <w:vAlign w:val="top"/>
          </w:tcPr>
          <w:p>
            <w:pPr>
              <w:spacing w:after="0"/>
            </w:pPr>
            <w:r>
              <w:rPr>
                <w:b/>
                <w:sz w:val="16"/>
              </w:rPr>
            </w:r>
            <w:r>
              <w:rPr>
                <w:b/>
                <w:color w:val="FFFFFF"/>
                <w:sz w:val="16"/>
              </w:rPr>
              <w:t>Refined candidate value</w:t>
            </w:r>
          </w:p>
        </w:tc>
        <w:tc>
          <w:tcPr>
            <w:tcW w:type="dxa" w:w="3312"/>
            <w:shd w:fill="D9EAF7"/>
            <w:vAlign w:val="top"/>
          </w:tcPr>
          <w:p>
            <w:pPr>
              <w:spacing w:after="0"/>
            </w:pPr>
            <w:r>
              <w:rPr>
                <w:b/>
                <w:sz w:val="16"/>
              </w:rPr>
            </w:r>
            <w:r>
              <w:rPr>
                <w:b/>
                <w:color w:val="FFFFFF"/>
                <w:sz w:val="16"/>
              </w:rPr>
              <w:t>Literature basis</w:t>
            </w:r>
          </w:p>
        </w:tc>
        <w:tc>
          <w:tcPr>
            <w:tcW w:type="dxa" w:w="2592"/>
            <w:shd w:fill="D9EAF7"/>
            <w:vAlign w:val="top"/>
          </w:tcPr>
          <w:p>
            <w:pPr>
              <w:spacing w:after="0"/>
            </w:pPr>
            <w:r>
              <w:rPr>
                <w:b/>
                <w:sz w:val="16"/>
              </w:rPr>
            </w:r>
            <w:r>
              <w:rPr>
                <w:b/>
                <w:color w:val="FFFFFF"/>
                <w:sz w:val="16"/>
              </w:rPr>
              <w:t>Finalization rule</w:t>
            </w:r>
          </w:p>
        </w:tc>
      </w:tr>
      <w:tr>
        <w:tc>
          <w:tcPr>
            <w:tcW w:type="dxa" w:w="1872"/>
            <w:vAlign w:val="top"/>
          </w:tcPr>
          <w:p>
            <w:pPr>
              <w:spacing w:after="0"/>
            </w:pPr>
            <w:r>
              <w:rPr>
                <w:sz w:val="16"/>
              </w:rPr>
              <w:t>Ensemble</w:t>
            </w:r>
          </w:p>
        </w:tc>
        <w:tc>
          <w:tcPr>
            <w:tcW w:type="dxa" w:w="2880"/>
            <w:vAlign w:val="top"/>
          </w:tcPr>
          <w:p>
            <w:pPr>
              <w:spacing w:after="0"/>
            </w:pPr>
            <w:r>
              <w:rPr>
                <w:sz w:val="16"/>
              </w:rPr>
              <w:t>NVT</w:t>
            </w:r>
          </w:p>
        </w:tc>
        <w:tc>
          <w:tcPr>
            <w:tcW w:type="dxa" w:w="3312"/>
            <w:vAlign w:val="top"/>
          </w:tcPr>
          <w:p>
            <w:pPr>
              <w:spacing w:after="0"/>
            </w:pPr>
            <w:r>
              <w:rPr>
                <w:sz w:val="16"/>
              </w:rPr>
              <w:t>Used in Chou &amp; Hwang, Gao et al., and Lashani Zand et al. [1,3,5]</w:t>
            </w:r>
          </w:p>
        </w:tc>
        <w:tc>
          <w:tcPr>
            <w:tcW w:type="dxa" w:w="2592"/>
            <w:vAlign w:val="top"/>
          </w:tcPr>
          <w:p>
            <w:pPr>
              <w:spacing w:after="0"/>
            </w:pPr>
            <w:r>
              <w:rPr>
                <w:sz w:val="16"/>
              </w:rPr>
              <w:t>Use for Model A and B unless a documented issue occurs</w:t>
            </w:r>
          </w:p>
        </w:tc>
      </w:tr>
      <w:tr>
        <w:tc>
          <w:tcPr>
            <w:tcW w:type="dxa" w:w="1872"/>
            <w:vAlign w:val="top"/>
          </w:tcPr>
          <w:p>
            <w:pPr>
              <w:spacing w:after="0"/>
            </w:pPr>
            <w:r>
              <w:rPr>
                <w:sz w:val="16"/>
              </w:rPr>
              <w:t>Temperature</w:t>
            </w:r>
          </w:p>
        </w:tc>
        <w:tc>
          <w:tcPr>
            <w:tcW w:type="dxa" w:w="2880"/>
            <w:vAlign w:val="top"/>
          </w:tcPr>
          <w:p>
            <w:r>
              <w:rPr>
                <w:sz w:val="16"/>
              </w:rPr>
              <w:t>Main accelerated test: choose 800 K or 1200 K; optional lower-temperature check later</w:t>
            </w:r>
          </w:p>
        </w:tc>
        <w:tc>
          <w:tcPr>
            <w:tcW w:type="dxa" w:w="3312"/>
            <w:vAlign w:val="top"/>
          </w:tcPr>
          <w:p>
            <w:r>
              <w:rPr>
                <w:sz w:val="16"/>
              </w:rPr>
              <w:t>800 K in Chou &amp; Hwang; 1200 K in Gao, Lashani Zand, and Si et al. [1,3,5,9]</w:t>
            </w:r>
          </w:p>
        </w:tc>
        <w:tc>
          <w:tcPr>
            <w:tcW w:type="dxa" w:w="2592"/>
            <w:vAlign w:val="top"/>
          </w:tcPr>
          <w:p>
            <w:pPr>
              <w:spacing w:after="0"/>
            </w:pPr>
            <w:r>
              <w:rPr>
                <w:sz w:val="16"/>
              </w:rPr>
              <w:t>Choose after ReaxFF stability tests; report as comparative</w:t>
            </w:r>
          </w:p>
        </w:tc>
      </w:tr>
      <w:tr>
        <w:tc>
          <w:tcPr>
            <w:tcW w:type="dxa" w:w="1872"/>
            <w:vAlign w:val="top"/>
          </w:tcPr>
          <w:p>
            <w:pPr>
              <w:spacing w:after="0"/>
            </w:pPr>
            <w:r>
              <w:rPr>
                <w:sz w:val="16"/>
              </w:rPr>
              <w:t>Timestep</w:t>
            </w:r>
          </w:p>
        </w:tc>
        <w:tc>
          <w:tcPr>
            <w:tcW w:type="dxa" w:w="2880"/>
            <w:vAlign w:val="top"/>
          </w:tcPr>
          <w:p>
            <w:r>
              <w:rPr>
                <w:sz w:val="16"/>
              </w:rPr>
              <w:t>Start ReaxFF tests at 0.5 fs; test 0.25, 0.5, and 1.0 fs if needed; reduce toward 0.1 fs for tracer-diffusion-quality checks if necessary</w:t>
            </w:r>
          </w:p>
        </w:tc>
        <w:tc>
          <w:tcPr>
            <w:tcW w:type="dxa" w:w="3312"/>
            <w:vAlign w:val="top"/>
          </w:tcPr>
          <w:p>
            <w:r>
              <w:rPr>
                <w:sz w:val="16"/>
              </w:rPr>
              <w:t>1 fs AIMD precedent [1,3,5]; Si et al. used 3 fs AIMD [9]; Olou'ou Guifo used 0.5 fs ReaxFF MD and 0.1 fs for tracer diffusion [4]. ReaxFF stability must be tested directly.</w:t>
            </w:r>
          </w:p>
        </w:tc>
        <w:tc>
          <w:tcPr>
            <w:tcW w:type="dxa" w:w="2592"/>
            <w:vAlign w:val="top"/>
          </w:tcPr>
          <w:p>
            <w:pPr>
              <w:spacing w:after="0"/>
            </w:pPr>
            <w:r>
              <w:rPr>
                <w:sz w:val="16"/>
              </w:rPr>
              <w:t>Largest stable timestep with acceptable energy/temperature behavior</w:t>
            </w:r>
          </w:p>
        </w:tc>
      </w:tr>
      <w:tr>
        <w:tc>
          <w:tcPr>
            <w:tcW w:type="dxa" w:w="1872"/>
            <w:vAlign w:val="top"/>
          </w:tcPr>
          <w:p>
            <w:pPr>
              <w:spacing w:after="0"/>
            </w:pPr>
            <w:r>
              <w:rPr>
                <w:sz w:val="16"/>
              </w:rPr>
              <w:t>Thermostat</w:t>
            </w:r>
          </w:p>
        </w:tc>
        <w:tc>
          <w:tcPr>
            <w:tcW w:type="dxa" w:w="2880"/>
            <w:vAlign w:val="top"/>
          </w:tcPr>
          <w:p>
            <w:pPr>
              <w:spacing w:after="0"/>
            </w:pPr>
            <w:r>
              <w:rPr>
                <w:sz w:val="16"/>
              </w:rPr>
              <w:t>Nose-Hoover style NVT in LAMMPS</w:t>
            </w:r>
          </w:p>
        </w:tc>
        <w:tc>
          <w:tcPr>
            <w:tcW w:type="dxa" w:w="3312"/>
            <w:vAlign w:val="top"/>
          </w:tcPr>
          <w:p>
            <w:pPr>
              <w:spacing w:after="0"/>
            </w:pPr>
            <w:r>
              <w:rPr>
                <w:sz w:val="16"/>
              </w:rPr>
              <w:t>Nose-Hoover used in reviewed AIMD studies [1,3,5]</w:t>
            </w:r>
          </w:p>
        </w:tc>
        <w:tc>
          <w:tcPr>
            <w:tcW w:type="dxa" w:w="2592"/>
            <w:vAlign w:val="top"/>
          </w:tcPr>
          <w:p>
            <w:pPr>
              <w:spacing w:after="0"/>
            </w:pPr>
            <w:r>
              <w:rPr>
                <w:sz w:val="16"/>
              </w:rPr>
              <w:t>Set damping in input script and validate temperature behavior</w:t>
            </w:r>
          </w:p>
        </w:tc>
      </w:tr>
      <w:tr>
        <w:tc>
          <w:tcPr>
            <w:tcW w:type="dxa" w:w="1872"/>
            <w:vAlign w:val="top"/>
          </w:tcPr>
          <w:p>
            <w:pPr>
              <w:spacing w:after="0"/>
            </w:pPr>
            <w:r>
              <w:rPr>
                <w:sz w:val="16"/>
              </w:rPr>
              <w:t>Equilibration</w:t>
            </w:r>
          </w:p>
        </w:tc>
        <w:tc>
          <w:tcPr>
            <w:tcW w:type="dxa" w:w="2880"/>
            <w:vAlign w:val="top"/>
          </w:tcPr>
          <w:p>
            <w:pPr>
              <w:spacing w:after="0"/>
            </w:pPr>
            <w:r>
              <w:rPr>
                <w:sz w:val="16"/>
              </w:rPr>
              <w:t>Minimum explicit equilibration before measuring MSD; use ps-scale tests</w:t>
            </w:r>
          </w:p>
        </w:tc>
        <w:tc>
          <w:tcPr>
            <w:tcW w:type="dxa" w:w="3312"/>
            <w:vAlign w:val="top"/>
          </w:tcPr>
          <w:p>
            <w:r>
              <w:rPr>
                <w:sz w:val="16"/>
              </w:rPr>
              <w:t>500 K 1 ps anneal in Chou; full-mixing/fitting windows in Gao and Si et al. [1,3,9]</w:t>
            </w:r>
          </w:p>
        </w:tc>
        <w:tc>
          <w:tcPr>
            <w:tcW w:type="dxa" w:w="2592"/>
            <w:vAlign w:val="top"/>
          </w:tcPr>
          <w:p>
            <w:pPr>
              <w:spacing w:after="0"/>
            </w:pPr>
            <w:r>
              <w:rPr>
                <w:sz w:val="16"/>
              </w:rPr>
              <w:t>Do not start MSD until temperature and structure are stable</w:t>
            </w:r>
          </w:p>
        </w:tc>
      </w:tr>
      <w:tr>
        <w:tc>
          <w:tcPr>
            <w:tcW w:type="dxa" w:w="1872"/>
            <w:vAlign w:val="top"/>
          </w:tcPr>
          <w:p>
            <w:pPr>
              <w:spacing w:after="0"/>
            </w:pPr>
            <w:r>
              <w:rPr>
                <w:sz w:val="16"/>
              </w:rPr>
              <w:t>Production length</w:t>
            </w:r>
          </w:p>
        </w:tc>
        <w:tc>
          <w:tcPr>
            <w:tcW w:type="dxa" w:w="2880"/>
            <w:vAlign w:val="top"/>
          </w:tcPr>
          <w:p>
            <w:r>
              <w:rPr>
                <w:sz w:val="16"/>
              </w:rPr>
              <w:t>Initial test: short; final target: tens of ps or longer if feasible</w:t>
            </w:r>
          </w:p>
        </w:tc>
        <w:tc>
          <w:tcPr>
            <w:tcW w:type="dxa" w:w="3312"/>
            <w:vAlign w:val="top"/>
          </w:tcPr>
          <w:p>
            <w:r>
              <w:rPr>
                <w:sz w:val="16"/>
              </w:rPr>
              <w:t>18 ps in Chou; 25/60 ps in Gao; 25 ps with 15-22 ps fit in Lashani Zand; 30 ps in Si et al. [1,3,5,9]</w:t>
            </w:r>
          </w:p>
        </w:tc>
        <w:tc>
          <w:tcPr>
            <w:tcW w:type="dxa" w:w="2592"/>
            <w:vAlign w:val="top"/>
          </w:tcPr>
          <w:p>
            <w:pPr>
              <w:spacing w:after="0"/>
            </w:pPr>
            <w:r>
              <w:rPr>
                <w:sz w:val="16"/>
              </w:rPr>
              <w:t>Extend until MSD has a defensible linear region</w:t>
            </w:r>
          </w:p>
        </w:tc>
      </w:tr>
      <w:tr>
        <w:tc>
          <w:tcPr>
            <w:tcW w:type="dxa" w:w="1872"/>
            <w:vAlign w:val="top"/>
          </w:tcPr>
          <w:p>
            <w:pPr>
              <w:spacing w:after="0"/>
            </w:pPr>
            <w:r>
              <w:rPr>
                <w:sz w:val="16"/>
              </w:rPr>
              <w:t>Charge equilibration</w:t>
            </w:r>
          </w:p>
        </w:tc>
        <w:tc>
          <w:tcPr>
            <w:tcW w:type="dxa" w:w="2880"/>
            <w:vAlign w:val="top"/>
          </w:tcPr>
          <w:p>
            <w:pPr>
              <w:spacing w:after="0"/>
            </w:pPr>
            <w:r>
              <w:rPr>
                <w:sz w:val="16"/>
              </w:rPr>
              <w:t>fix qeq/reaxff every 1 step as first test; tolerance 1e-6 is a documented LAMMPS example</w:t>
            </w:r>
          </w:p>
        </w:tc>
        <w:tc>
          <w:tcPr>
            <w:tcW w:type="dxa" w:w="3312"/>
            <w:vAlign w:val="top"/>
          </w:tcPr>
          <w:p>
            <w:pPr>
              <w:spacing w:after="0"/>
            </w:pPr>
            <w:r>
              <w:rPr>
                <w:sz w:val="16"/>
              </w:rPr>
              <w:t>LAMMPS qeq/reaxff docs [7]</w:t>
            </w:r>
          </w:p>
        </w:tc>
        <w:tc>
          <w:tcPr>
            <w:tcW w:type="dxa" w:w="2592"/>
            <w:vAlign w:val="top"/>
          </w:tcPr>
          <w:p>
            <w:pPr>
              <w:spacing w:after="0"/>
            </w:pPr>
            <w:r>
              <w:rPr>
                <w:sz w:val="16"/>
              </w:rPr>
              <w:t>Record final command and convergence behavior</w:t>
            </w:r>
          </w:p>
        </w:tc>
      </w:tr>
    </w:tbl>
    <w:p/>
    <w:p>
      <w:pPr>
        <w:pStyle w:val="Heading1"/>
      </w:pPr>
      <w:r>
        <w:rPr>
          <w:sz w:val="21"/>
        </w:rPr>
        <w:t>8. Diffusion Analysis</w:t>
      </w:r>
    </w:p>
    <w:p>
      <w:r>
        <w:rPr>
          <w:sz w:val="21"/>
        </w:rPr>
        <w:t>The primary quantitative metric is lithium MSD. The analysis should use unwrapped coordinates or LAMMPS compute msd so that periodic-boundary crossings are treated correctly.</w:t>
      </w:r>
    </w:p>
    <w:p>
      <w:r>
        <w:rPr>
          <w:sz w:val="21"/>
        </w:rPr>
        <w:t>MSD(t) = &lt; | r_i(t) - r_i(0) |^2 &gt;</w:t>
      </w:r>
    </w:p>
    <w:p>
      <w:r>
        <w:rPr>
          <w:sz w:val="21"/>
        </w:rPr>
        <w:t>D = (1 / 2d) * d(MSD)/dt, where d is the diffusion dimensionality. For 3D diffusion, D = slope/6. For 2D in-plane diffusion, D = slope/4. For 1D direction-resolved diffusion, D = slope/2.</w:t>
      </w:r>
    </w:p>
    <w:tbl>
      <w:tblPr>
        <w:tblStyle w:val="TableGrid"/>
        <w:tblW w:type="auto" w:w="0"/>
        <w:tblLayout w:type="autofit"/>
        <w:tblLook w:firstColumn="1" w:firstRow="1" w:lastColumn="0" w:lastRow="0" w:noHBand="0" w:noVBand="1" w:val="04A0"/>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2592"/>
        <w:gridCol w:w="2592"/>
        <w:gridCol w:w="2592"/>
        <w:gridCol w:w="2592"/>
      </w:tblGrid>
      <w:tr>
        <w:tc>
          <w:tcPr>
            <w:tcW w:type="dxa" w:w="2160"/>
            <w:shd w:fill="D9EAF7"/>
            <w:vAlign w:val="top"/>
          </w:tcPr>
          <w:p>
            <w:pPr>
              <w:spacing w:after="0"/>
            </w:pPr>
            <w:r>
              <w:rPr>
                <w:b/>
                <w:sz w:val="16"/>
              </w:rPr>
            </w:r>
            <w:r>
              <w:rPr>
                <w:b/>
                <w:color w:val="FFFFFF"/>
                <w:sz w:val="16"/>
              </w:rPr>
              <w:t>Analysis output</w:t>
            </w:r>
          </w:p>
        </w:tc>
        <w:tc>
          <w:tcPr>
            <w:tcW w:type="dxa" w:w="2160"/>
            <w:shd w:fill="D9EAF7"/>
            <w:vAlign w:val="top"/>
          </w:tcPr>
          <w:p>
            <w:pPr>
              <w:spacing w:after="0"/>
            </w:pPr>
            <w:r>
              <w:rPr>
                <w:b/>
                <w:sz w:val="16"/>
              </w:rPr>
            </w:r>
            <w:r>
              <w:rPr>
                <w:b/>
                <w:color w:val="FFFFFF"/>
                <w:sz w:val="16"/>
              </w:rPr>
              <w:t>Source</w:t>
            </w:r>
          </w:p>
        </w:tc>
        <w:tc>
          <w:tcPr>
            <w:tcW w:type="dxa" w:w="3024"/>
            <w:shd w:fill="D9EAF7"/>
            <w:vAlign w:val="top"/>
          </w:tcPr>
          <w:p>
            <w:pPr>
              <w:spacing w:after="0"/>
            </w:pPr>
            <w:r>
              <w:rPr>
                <w:b/>
                <w:sz w:val="16"/>
              </w:rPr>
            </w:r>
            <w:r>
              <w:rPr>
                <w:b/>
                <w:color w:val="FFFFFF"/>
                <w:sz w:val="16"/>
              </w:rPr>
              <w:t>Purpose</w:t>
            </w:r>
          </w:p>
        </w:tc>
        <w:tc>
          <w:tcPr>
            <w:tcW w:type="dxa" w:w="3168"/>
            <w:shd w:fill="D9EAF7"/>
            <w:vAlign w:val="top"/>
          </w:tcPr>
          <w:p>
            <w:pPr>
              <w:spacing w:after="0"/>
            </w:pPr>
            <w:r>
              <w:rPr>
                <w:b/>
                <w:sz w:val="16"/>
              </w:rPr>
            </w:r>
            <w:r>
              <w:rPr>
                <w:b/>
                <w:color w:val="FFFFFF"/>
                <w:sz w:val="16"/>
              </w:rPr>
              <w:t>Acceptance rule</w:t>
            </w:r>
          </w:p>
        </w:tc>
      </w:tr>
      <w:tr>
        <w:tc>
          <w:tcPr>
            <w:tcW w:type="dxa" w:w="2160"/>
            <w:vAlign w:val="top"/>
          </w:tcPr>
          <w:p>
            <w:pPr>
              <w:spacing w:after="0"/>
            </w:pPr>
            <w:r>
              <w:rPr>
                <w:sz w:val="16"/>
              </w:rPr>
              <w:t>Temperature vs time</w:t>
            </w:r>
          </w:p>
        </w:tc>
        <w:tc>
          <w:tcPr>
            <w:tcW w:type="dxa" w:w="2160"/>
            <w:vAlign w:val="top"/>
          </w:tcPr>
          <w:p>
            <w:pPr>
              <w:spacing w:after="0"/>
            </w:pPr>
            <w:r>
              <w:rPr>
                <w:sz w:val="16"/>
              </w:rPr>
              <w:t>LAMMPS log</w:t>
            </w:r>
          </w:p>
        </w:tc>
        <w:tc>
          <w:tcPr>
            <w:tcW w:type="dxa" w:w="3024"/>
            <w:vAlign w:val="top"/>
          </w:tcPr>
          <w:p>
            <w:pPr>
              <w:spacing w:after="0"/>
            </w:pPr>
            <w:r>
              <w:rPr>
                <w:sz w:val="16"/>
              </w:rPr>
              <w:t>Thermostat stability</w:t>
            </w:r>
          </w:p>
        </w:tc>
        <w:tc>
          <w:tcPr>
            <w:tcW w:type="dxa" w:w="3168"/>
            <w:vAlign w:val="top"/>
          </w:tcPr>
          <w:p>
            <w:pPr>
              <w:spacing w:after="0"/>
            </w:pPr>
            <w:r>
              <w:rPr>
                <w:sz w:val="16"/>
              </w:rPr>
              <w:t>No runaway heating/cooling; fluctuations centered near target</w:t>
            </w:r>
          </w:p>
        </w:tc>
      </w:tr>
      <w:tr>
        <w:tc>
          <w:tcPr>
            <w:tcW w:type="dxa" w:w="2160"/>
            <w:vAlign w:val="top"/>
          </w:tcPr>
          <w:p>
            <w:pPr>
              <w:spacing w:after="0"/>
            </w:pPr>
            <w:r>
              <w:rPr>
                <w:sz w:val="16"/>
              </w:rPr>
              <w:t>Energy vs time</w:t>
            </w:r>
          </w:p>
        </w:tc>
        <w:tc>
          <w:tcPr>
            <w:tcW w:type="dxa" w:w="2160"/>
            <w:vAlign w:val="top"/>
          </w:tcPr>
          <w:p>
            <w:pPr>
              <w:spacing w:after="0"/>
            </w:pPr>
            <w:r>
              <w:rPr>
                <w:sz w:val="16"/>
              </w:rPr>
              <w:t>LAMMPS log</w:t>
            </w:r>
          </w:p>
        </w:tc>
        <w:tc>
          <w:tcPr>
            <w:tcW w:type="dxa" w:w="3024"/>
            <w:vAlign w:val="top"/>
          </w:tcPr>
          <w:p>
            <w:pPr>
              <w:spacing w:after="0"/>
            </w:pPr>
            <w:r>
              <w:rPr>
                <w:sz w:val="16"/>
              </w:rPr>
              <w:t>Detect blow-up or bad geometry</w:t>
            </w:r>
          </w:p>
        </w:tc>
        <w:tc>
          <w:tcPr>
            <w:tcW w:type="dxa" w:w="3168"/>
            <w:vAlign w:val="top"/>
          </w:tcPr>
          <w:p>
            <w:pPr>
              <w:spacing w:after="0"/>
            </w:pPr>
            <w:r>
              <w:rPr>
                <w:sz w:val="16"/>
              </w:rPr>
              <w:t>No unphysical divergence during production</w:t>
            </w:r>
          </w:p>
        </w:tc>
      </w:tr>
      <w:tr>
        <w:tc>
          <w:tcPr>
            <w:tcW w:type="dxa" w:w="2160"/>
            <w:vAlign w:val="top"/>
          </w:tcPr>
          <w:p>
            <w:pPr>
              <w:spacing w:after="0"/>
            </w:pPr>
            <w:r>
              <w:rPr>
                <w:sz w:val="16"/>
              </w:rPr>
              <w:t>3D Li MSD</w:t>
            </w:r>
          </w:p>
        </w:tc>
        <w:tc>
          <w:tcPr>
            <w:tcW w:type="dxa" w:w="2160"/>
            <w:vAlign w:val="top"/>
          </w:tcPr>
          <w:p>
            <w:pPr>
              <w:spacing w:after="0"/>
            </w:pPr>
            <w:r>
              <w:rPr>
                <w:sz w:val="16"/>
              </w:rPr>
              <w:t>compute msd or trajectory analysis</w:t>
            </w:r>
          </w:p>
        </w:tc>
        <w:tc>
          <w:tcPr>
            <w:tcW w:type="dxa" w:w="3024"/>
            <w:vAlign w:val="top"/>
          </w:tcPr>
          <w:p>
            <w:pPr>
              <w:spacing w:after="0"/>
            </w:pPr>
            <w:r>
              <w:rPr>
                <w:sz w:val="16"/>
              </w:rPr>
              <w:t>Overall Li mobility</w:t>
            </w:r>
          </w:p>
        </w:tc>
        <w:tc>
          <w:tcPr>
            <w:tcW w:type="dxa" w:w="3168"/>
            <w:vAlign w:val="top"/>
          </w:tcPr>
          <w:p>
            <w:pPr>
              <w:spacing w:after="0"/>
            </w:pPr>
            <w:r>
              <w:rPr>
                <w:sz w:val="16"/>
              </w:rPr>
              <w:t>Linear window identified and same method applied to A/B</w:t>
            </w:r>
          </w:p>
        </w:tc>
      </w:tr>
      <w:tr>
        <w:tc>
          <w:tcPr>
            <w:tcW w:type="dxa" w:w="2160"/>
            <w:vAlign w:val="top"/>
          </w:tcPr>
          <w:p>
            <w:pPr>
              <w:spacing w:after="0"/>
            </w:pPr>
            <w:r>
              <w:rPr>
                <w:sz w:val="16"/>
              </w:rPr>
              <w:t>In-plane MSD (x-y)</w:t>
            </w:r>
          </w:p>
        </w:tc>
        <w:tc>
          <w:tcPr>
            <w:tcW w:type="dxa" w:w="2160"/>
            <w:vAlign w:val="top"/>
          </w:tcPr>
          <w:p>
            <w:pPr>
              <w:spacing w:after="0"/>
            </w:pPr>
            <w:r>
              <w:rPr>
                <w:sz w:val="16"/>
              </w:rPr>
              <w:t>Trajectory post-processing or c_msd[1]+c_msd[2]</w:t>
            </w:r>
          </w:p>
        </w:tc>
        <w:tc>
          <w:tcPr>
            <w:tcW w:type="dxa" w:w="3024"/>
            <w:vAlign w:val="top"/>
          </w:tcPr>
          <w:p>
            <w:pPr>
              <w:spacing w:after="0"/>
            </w:pPr>
            <w:r>
              <w:rPr>
                <w:sz w:val="16"/>
              </w:rPr>
              <w:t>Interface-parallel motion</w:t>
            </w:r>
          </w:p>
        </w:tc>
        <w:tc>
          <w:tcPr>
            <w:tcW w:type="dxa" w:w="3168"/>
            <w:vAlign w:val="top"/>
          </w:tcPr>
          <w:p>
            <w:pPr>
              <w:spacing w:after="0"/>
            </w:pPr>
            <w:r>
              <w:rPr>
                <w:sz w:val="16"/>
              </w:rPr>
              <w:t>Reported because Si-graphene interfaces can be anisotropic</w:t>
            </w:r>
          </w:p>
        </w:tc>
      </w:tr>
      <w:tr>
        <w:tc>
          <w:tcPr>
            <w:tcW w:type="dxa" w:w="2160"/>
            <w:vAlign w:val="top"/>
          </w:tcPr>
          <w:p>
            <w:pPr>
              <w:spacing w:after="0"/>
            </w:pPr>
            <w:r>
              <w:rPr>
                <w:sz w:val="16"/>
              </w:rPr>
              <w:t>z-direction MSD</w:t>
            </w:r>
          </w:p>
        </w:tc>
        <w:tc>
          <w:tcPr>
            <w:tcW w:type="dxa" w:w="2160"/>
            <w:vAlign w:val="top"/>
          </w:tcPr>
          <w:p>
            <w:pPr>
              <w:spacing w:after="0"/>
            </w:pPr>
            <w:r>
              <w:rPr>
                <w:sz w:val="16"/>
              </w:rPr>
              <w:t>Trajectory post-processing or c_msd[3]</w:t>
            </w:r>
          </w:p>
        </w:tc>
        <w:tc>
          <w:tcPr>
            <w:tcW w:type="dxa" w:w="3024"/>
            <w:vAlign w:val="top"/>
          </w:tcPr>
          <w:p>
            <w:pPr>
              <w:spacing w:after="0"/>
            </w:pPr>
            <w:r>
              <w:rPr>
                <w:sz w:val="16"/>
              </w:rPr>
              <w:t>Penetration/interface-normal motion</w:t>
            </w:r>
          </w:p>
        </w:tc>
        <w:tc>
          <w:tcPr>
            <w:tcW w:type="dxa" w:w="3168"/>
            <w:vAlign w:val="top"/>
          </w:tcPr>
          <w:p>
            <w:pPr>
              <w:spacing w:after="0"/>
            </w:pPr>
            <w:r>
              <w:rPr>
                <w:sz w:val="16"/>
              </w:rPr>
              <w:t>Reported if Li crosses graphene/interface</w:t>
            </w:r>
          </w:p>
        </w:tc>
      </w:tr>
      <w:tr>
        <w:tc>
          <w:tcPr>
            <w:tcW w:type="dxa" w:w="2160"/>
            <w:vAlign w:val="top"/>
          </w:tcPr>
          <w:p>
            <w:pPr>
              <w:spacing w:after="0"/>
            </w:pPr>
            <w:r>
              <w:rPr>
                <w:sz w:val="16"/>
              </w:rPr>
              <w:t>Diffusion coefficient</w:t>
            </w:r>
          </w:p>
        </w:tc>
        <w:tc>
          <w:tcPr>
            <w:tcW w:type="dxa" w:w="2160"/>
            <w:vAlign w:val="top"/>
          </w:tcPr>
          <w:p>
            <w:pPr>
              <w:spacing w:after="0"/>
            </w:pPr>
            <w:r>
              <w:rPr>
                <w:sz w:val="16"/>
              </w:rPr>
              <w:t>Linear fit to MSD</w:t>
            </w:r>
          </w:p>
        </w:tc>
        <w:tc>
          <w:tcPr>
            <w:tcW w:type="dxa" w:w="3024"/>
            <w:vAlign w:val="top"/>
          </w:tcPr>
          <w:p>
            <w:pPr>
              <w:spacing w:after="0"/>
            </w:pPr>
            <w:r>
              <w:rPr>
                <w:sz w:val="16"/>
              </w:rPr>
              <w:t>Main result</w:t>
            </w:r>
          </w:p>
        </w:tc>
        <w:tc>
          <w:tcPr>
            <w:tcW w:type="dxa" w:w="3168"/>
            <w:vAlign w:val="top"/>
          </w:tcPr>
          <w:p>
            <w:pPr>
              <w:spacing w:after="0"/>
            </w:pPr>
            <w:r>
              <w:rPr>
                <w:sz w:val="16"/>
              </w:rPr>
              <w:t>Fit window, units, and regression method documented</w:t>
            </w:r>
          </w:p>
        </w:tc>
      </w:tr>
      <w:tr>
        <w:tc>
          <w:tcPr>
            <w:tcW w:type="dxa" w:w="2160"/>
            <w:vAlign w:val="top"/>
          </w:tcPr>
          <w:p>
            <w:pPr>
              <w:spacing w:after="0"/>
            </w:pPr>
            <w:r>
              <w:rPr>
                <w:sz w:val="16"/>
              </w:rPr>
              <w:t>Uncertainty</w:t>
            </w:r>
          </w:p>
        </w:tc>
        <w:tc>
          <w:tcPr>
            <w:tcW w:type="dxa" w:w="2160"/>
            <w:vAlign w:val="top"/>
          </w:tcPr>
          <w:p>
            <w:pPr>
              <w:spacing w:after="0"/>
            </w:pPr>
            <w:r>
              <w:rPr>
                <w:sz w:val="16"/>
              </w:rPr>
              <w:t>Independent repeats</w:t>
            </w:r>
          </w:p>
        </w:tc>
        <w:tc>
          <w:tcPr>
            <w:tcW w:type="dxa" w:w="3024"/>
            <w:vAlign w:val="top"/>
          </w:tcPr>
          <w:p>
            <w:pPr>
              <w:spacing w:after="0"/>
            </w:pPr>
            <w:r>
              <w:rPr>
                <w:sz w:val="16"/>
              </w:rPr>
              <w:t>Reliability of trend</w:t>
            </w:r>
          </w:p>
        </w:tc>
        <w:tc>
          <w:tcPr>
            <w:tcW w:type="dxa" w:w="3168"/>
            <w:vAlign w:val="top"/>
          </w:tcPr>
          <w:p>
            <w:pPr>
              <w:spacing w:after="0"/>
            </w:pPr>
            <w:r>
              <w:rPr>
                <w:sz w:val="16"/>
              </w:rPr>
              <w:t>At least 3 seeds per model if feasible</w:t>
            </w:r>
          </w:p>
        </w:tc>
      </w:tr>
      <w:tr>
        <w:tc>
          <w:tcPr>
            <w:tcW w:type="dxa" w:w="2160"/>
            <w:vAlign w:val="top"/>
          </w:tcPr>
          <w:p>
            <w:pPr>
              <w:spacing w:after="0"/>
            </w:pPr>
            <w:r>
              <w:rPr>
                <w:sz w:val="16"/>
              </w:rPr>
              <w:t>OVITO snapshots</w:t>
            </w:r>
          </w:p>
        </w:tc>
        <w:tc>
          <w:tcPr>
            <w:tcW w:type="dxa" w:w="2160"/>
            <w:vAlign w:val="top"/>
          </w:tcPr>
          <w:p>
            <w:pPr>
              <w:spacing w:after="0"/>
            </w:pPr>
            <w:r>
              <w:rPr>
                <w:sz w:val="16"/>
              </w:rPr>
              <w:t>Dump trajectory</w:t>
            </w:r>
          </w:p>
        </w:tc>
        <w:tc>
          <w:tcPr>
            <w:tcW w:type="dxa" w:w="3024"/>
            <w:vAlign w:val="top"/>
          </w:tcPr>
          <w:p>
            <w:pPr>
              <w:spacing w:after="0"/>
            </w:pPr>
            <w:r>
              <w:rPr>
                <w:sz w:val="16"/>
              </w:rPr>
              <w:t>Mechanistic interpretation</w:t>
            </w:r>
          </w:p>
        </w:tc>
        <w:tc>
          <w:tcPr>
            <w:tcW w:type="dxa" w:w="3168"/>
            <w:vAlign w:val="top"/>
          </w:tcPr>
          <w:p>
            <w:pPr>
              <w:spacing w:after="0"/>
            </w:pPr>
            <w:r>
              <w:rPr>
                <w:sz w:val="16"/>
              </w:rPr>
              <w:t>Show Li pathways/trapping without overclaiming</w:t>
            </w:r>
          </w:p>
        </w:tc>
      </w:tr>
    </w:tbl>
    <w:p/>
    <w:tbl>
      <w:tblPr>
        <w:tblW w:type="auto" w:w="0"/>
        <w:tblLayout w:type="autofit"/>
        <w:tblLook w:firstColumn="1" w:firstRow="1" w:lastColumn="0" w:lastRow="0" w:noHBand="0" w:noVBand="1" w:val="04A0"/>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10368"/>
      </w:tblGrid>
      <w:tr>
        <w:tc>
          <w:tcPr>
            <w:tcW w:type="dxa" w:w="10368"/>
            <w:shd w:fill="D9EAF7"/>
            <w:vAlign w:val="top"/>
          </w:tcPr>
          <w:p>
            <w:r>
              <w:rPr>
                <w:b/>
                <w:sz w:val="16"/>
              </w:rPr>
              <w:t>Fitting-window rule: Do not choose the MSD fitting window before seeing this project's data. The window is a project-discovered value. Literature examples: Chou disregarded the first few picoseconds; Gao fitted after full mixing using t &gt; 14 ps for mixture mode and t &gt; 45 ps for core-shell mode; Lashani Zand fitted 15-22 ps; Si et al. fitted t &gt; 15 ps for Si/p-Gr, Si/SV, and Si/DV5-8-5.</w:t>
            </w:r>
          </w:p>
        </w:tc>
      </w:tr>
    </w:tbl>
    <w:p/>
    <w:p>
      <w:pPr>
        <w:pStyle w:val="Heading1"/>
      </w:pPr>
      <w:r>
        <w:rPr>
          <w:sz w:val="21"/>
        </w:rPr>
        <w:t>9. Data Generated by This Project and Discoveries Expected</w:t>
      </w:r>
    </w:p>
    <w:tbl>
      <w:tblPr>
        <w:tblStyle w:val="TableGrid"/>
        <w:tblW w:type="auto" w:w="0"/>
        <w:tblLayout w:type="autofit"/>
        <w:tblLook w:firstColumn="1" w:firstRow="1" w:lastColumn="0" w:lastRow="0" w:noHBand="0" w:noVBand="1" w:val="04A0"/>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3456"/>
        <w:gridCol w:w="3456"/>
        <w:gridCol w:w="3456"/>
      </w:tblGrid>
      <w:tr>
        <w:tc>
          <w:tcPr>
            <w:tcW w:type="dxa" w:w="3024"/>
            <w:shd w:fill="D9EAF7"/>
            <w:vAlign w:val="top"/>
          </w:tcPr>
          <w:p>
            <w:pPr>
              <w:spacing w:after="0"/>
            </w:pPr>
            <w:r>
              <w:rPr>
                <w:b/>
                <w:sz w:val="16"/>
              </w:rPr>
            </w:r>
            <w:r>
              <w:rPr>
                <w:b/>
                <w:color w:val="FFFFFF"/>
                <w:sz w:val="16"/>
              </w:rPr>
              <w:t>Generated data</w:t>
            </w:r>
          </w:p>
        </w:tc>
        <w:tc>
          <w:tcPr>
            <w:tcW w:type="dxa" w:w="2736"/>
            <w:shd w:fill="D9EAF7"/>
            <w:vAlign w:val="top"/>
          </w:tcPr>
          <w:p>
            <w:pPr>
              <w:spacing w:after="0"/>
            </w:pPr>
            <w:r>
              <w:rPr>
                <w:b/>
                <w:sz w:val="16"/>
              </w:rPr>
            </w:r>
            <w:r>
              <w:rPr>
                <w:b/>
                <w:color w:val="FFFFFF"/>
                <w:sz w:val="16"/>
              </w:rPr>
              <w:t>Generated from</w:t>
            </w:r>
          </w:p>
        </w:tc>
        <w:tc>
          <w:tcPr>
            <w:tcW w:type="dxa" w:w="4608"/>
            <w:shd w:fill="D9EAF7"/>
            <w:vAlign w:val="top"/>
          </w:tcPr>
          <w:p>
            <w:pPr>
              <w:spacing w:after="0"/>
            </w:pPr>
            <w:r>
              <w:rPr>
                <w:b/>
                <w:sz w:val="16"/>
              </w:rPr>
            </w:r>
            <w:r>
              <w:rPr>
                <w:b/>
                <w:color w:val="FFFFFF"/>
                <w:sz w:val="16"/>
              </w:rPr>
              <w:t>Discovery enabled</w:t>
            </w:r>
          </w:p>
        </w:tc>
      </w:tr>
      <w:tr>
        <w:tc>
          <w:tcPr>
            <w:tcW w:type="dxa" w:w="3024"/>
            <w:vAlign w:val="top"/>
          </w:tcPr>
          <w:p>
            <w:pPr>
              <w:spacing w:after="0"/>
            </w:pPr>
            <w:r>
              <w:rPr>
                <w:sz w:val="16"/>
              </w:rPr>
              <w:t>Minimized Model A and Model B structures</w:t>
            </w:r>
          </w:p>
        </w:tc>
        <w:tc>
          <w:tcPr>
            <w:tcW w:type="dxa" w:w="2736"/>
            <w:vAlign w:val="top"/>
          </w:tcPr>
          <w:p>
            <w:pPr>
              <w:spacing w:after="0"/>
            </w:pPr>
            <w:r>
              <w:rPr>
                <w:sz w:val="16"/>
              </w:rPr>
              <w:t>LAMMPS minimization</w:t>
            </w:r>
          </w:p>
        </w:tc>
        <w:tc>
          <w:tcPr>
            <w:tcW w:type="dxa" w:w="4608"/>
            <w:vAlign w:val="top"/>
          </w:tcPr>
          <w:p>
            <w:pPr>
              <w:spacing w:after="0"/>
            </w:pPr>
            <w:r>
              <w:rPr>
                <w:sz w:val="16"/>
              </w:rPr>
              <w:t>Whether both models are physically stable and comparable</w:t>
            </w:r>
          </w:p>
        </w:tc>
      </w:tr>
      <w:tr>
        <w:tc>
          <w:tcPr>
            <w:tcW w:type="dxa" w:w="3024"/>
            <w:vAlign w:val="top"/>
          </w:tcPr>
          <w:p>
            <w:pPr>
              <w:spacing w:after="0"/>
            </w:pPr>
            <w:r>
              <w:rPr>
                <w:sz w:val="16"/>
              </w:rPr>
              <w:t>Equilibrated structures</w:t>
            </w:r>
          </w:p>
        </w:tc>
        <w:tc>
          <w:tcPr>
            <w:tcW w:type="dxa" w:w="2736"/>
            <w:vAlign w:val="top"/>
          </w:tcPr>
          <w:p>
            <w:pPr>
              <w:spacing w:after="0"/>
            </w:pPr>
            <w:r>
              <w:rPr>
                <w:sz w:val="16"/>
              </w:rPr>
              <w:t>NVT equilibration</w:t>
            </w:r>
          </w:p>
        </w:tc>
        <w:tc>
          <w:tcPr>
            <w:tcW w:type="dxa" w:w="4608"/>
            <w:vAlign w:val="top"/>
          </w:tcPr>
          <w:p>
            <w:pPr>
              <w:spacing w:after="0"/>
            </w:pPr>
            <w:r>
              <w:rPr>
                <w:sz w:val="16"/>
              </w:rPr>
              <w:t>Whether temperature and geometry remain stable</w:t>
            </w:r>
          </w:p>
        </w:tc>
      </w:tr>
      <w:tr>
        <w:tc>
          <w:tcPr>
            <w:tcW w:type="dxa" w:w="3024"/>
            <w:vAlign w:val="top"/>
          </w:tcPr>
          <w:p>
            <w:pPr>
              <w:spacing w:after="0"/>
            </w:pPr>
            <w:r>
              <w:rPr>
                <w:sz w:val="16"/>
              </w:rPr>
              <w:t>Li trajectories</w:t>
            </w:r>
          </w:p>
        </w:tc>
        <w:tc>
          <w:tcPr>
            <w:tcW w:type="dxa" w:w="2736"/>
            <w:vAlign w:val="top"/>
          </w:tcPr>
          <w:p>
            <w:pPr>
              <w:spacing w:after="0"/>
            </w:pPr>
            <w:r>
              <w:rPr>
                <w:sz w:val="16"/>
              </w:rPr>
              <w:t>Production dump files</w:t>
            </w:r>
          </w:p>
        </w:tc>
        <w:tc>
          <w:tcPr>
            <w:tcW w:type="dxa" w:w="4608"/>
            <w:vAlign w:val="top"/>
          </w:tcPr>
          <w:p>
            <w:pPr>
              <w:spacing w:after="0"/>
            </w:pPr>
            <w:r>
              <w:rPr>
                <w:sz w:val="16"/>
              </w:rPr>
              <w:t>Whether Li moves along graphene, through the defect, into Si, or becomes trapped</w:t>
            </w:r>
          </w:p>
        </w:tc>
      </w:tr>
      <w:tr>
        <w:tc>
          <w:tcPr>
            <w:tcW w:type="dxa" w:w="3024"/>
            <w:vAlign w:val="top"/>
          </w:tcPr>
          <w:p>
            <w:pPr>
              <w:spacing w:after="0"/>
            </w:pPr>
            <w:r>
              <w:rPr>
                <w:sz w:val="16"/>
              </w:rPr>
              <w:t>Li MSD curves</w:t>
            </w:r>
          </w:p>
        </w:tc>
        <w:tc>
          <w:tcPr>
            <w:tcW w:type="dxa" w:w="2736"/>
            <w:vAlign w:val="top"/>
          </w:tcPr>
          <w:p>
            <w:pPr>
              <w:spacing w:after="0"/>
            </w:pPr>
            <w:r>
              <w:rPr>
                <w:sz w:val="16"/>
              </w:rPr>
              <w:t>LAMMPS compute or Python trajectory analysis</w:t>
            </w:r>
          </w:p>
        </w:tc>
        <w:tc>
          <w:tcPr>
            <w:tcW w:type="dxa" w:w="4608"/>
            <w:vAlign w:val="top"/>
          </w:tcPr>
          <w:p>
            <w:pPr>
              <w:spacing w:after="0"/>
            </w:pPr>
            <w:r>
              <w:rPr>
                <w:sz w:val="16"/>
              </w:rPr>
              <w:t>Relative mobility in pristine vs defective interfaces</w:t>
            </w:r>
          </w:p>
        </w:tc>
      </w:tr>
      <w:tr>
        <w:tc>
          <w:tcPr>
            <w:tcW w:type="dxa" w:w="3024"/>
            <w:vAlign w:val="top"/>
          </w:tcPr>
          <w:p>
            <w:pPr>
              <w:spacing w:after="0"/>
            </w:pPr>
            <w:r>
              <w:rPr>
                <w:sz w:val="16"/>
              </w:rPr>
              <w:t>D_A and D_B</w:t>
            </w:r>
          </w:p>
        </w:tc>
        <w:tc>
          <w:tcPr>
            <w:tcW w:type="dxa" w:w="2736"/>
            <w:vAlign w:val="top"/>
          </w:tcPr>
          <w:p>
            <w:pPr>
              <w:spacing w:after="0"/>
            </w:pPr>
            <w:r>
              <w:rPr>
                <w:sz w:val="16"/>
              </w:rPr>
              <w:t>Linear MSD fitting</w:t>
            </w:r>
          </w:p>
        </w:tc>
        <w:tc>
          <w:tcPr>
            <w:tcW w:type="dxa" w:w="4608"/>
            <w:vAlign w:val="top"/>
          </w:tcPr>
          <w:p>
            <w:pPr>
              <w:spacing w:after="0"/>
            </w:pPr>
            <w:r>
              <w:rPr>
                <w:sz w:val="16"/>
              </w:rPr>
              <w:t>Whether the vacancy increases or decreases Li diffusion</w:t>
            </w:r>
          </w:p>
        </w:tc>
      </w:tr>
      <w:tr>
        <w:tc>
          <w:tcPr>
            <w:tcW w:type="dxa" w:w="3024"/>
            <w:vAlign w:val="top"/>
          </w:tcPr>
          <w:p>
            <w:pPr>
              <w:spacing w:after="0"/>
            </w:pPr>
            <w:r>
              <w:rPr>
                <w:sz w:val="16"/>
              </w:rPr>
              <w:t>D_B/D_A ratio</w:t>
            </w:r>
          </w:p>
        </w:tc>
        <w:tc>
          <w:tcPr>
            <w:tcW w:type="dxa" w:w="2736"/>
            <w:vAlign w:val="top"/>
          </w:tcPr>
          <w:p>
            <w:pPr>
              <w:spacing w:after="0"/>
            </w:pPr>
            <w:r>
              <w:rPr>
                <w:sz w:val="16"/>
              </w:rPr>
              <w:t>Diffusion coefficient comparison</w:t>
            </w:r>
          </w:p>
        </w:tc>
        <w:tc>
          <w:tcPr>
            <w:tcW w:type="dxa" w:w="4608"/>
            <w:vAlign w:val="top"/>
          </w:tcPr>
          <w:p>
            <w:pPr>
              <w:spacing w:after="0"/>
            </w:pPr>
            <w:r>
              <w:rPr>
                <w:sz w:val="16"/>
              </w:rPr>
              <w:t>Magnitude of defect effect under the chosen protocol</w:t>
            </w:r>
          </w:p>
        </w:tc>
      </w:tr>
      <w:tr>
        <w:tc>
          <w:tcPr>
            <w:tcW w:type="dxa" w:w="3024"/>
            <w:vAlign w:val="top"/>
          </w:tcPr>
          <w:p>
            <w:pPr>
              <w:spacing w:after="0"/>
            </w:pPr>
            <w:r>
              <w:rPr>
                <w:sz w:val="16"/>
              </w:rPr>
              <w:t>Direction-resolved MSD</w:t>
            </w:r>
          </w:p>
        </w:tc>
        <w:tc>
          <w:tcPr>
            <w:tcW w:type="dxa" w:w="2736"/>
            <w:vAlign w:val="top"/>
          </w:tcPr>
          <w:p>
            <w:pPr>
              <w:spacing w:after="0"/>
            </w:pPr>
            <w:r>
              <w:rPr>
                <w:sz w:val="16"/>
              </w:rPr>
              <w:t>x, y, z displacement analysis</w:t>
            </w:r>
          </w:p>
        </w:tc>
        <w:tc>
          <w:tcPr>
            <w:tcW w:type="dxa" w:w="4608"/>
            <w:vAlign w:val="top"/>
          </w:tcPr>
          <w:p>
            <w:pPr>
              <w:spacing w:after="0"/>
            </w:pPr>
            <w:r>
              <w:rPr>
                <w:sz w:val="16"/>
              </w:rPr>
              <w:t>Whether motion is in-plane or interface-normal</w:t>
            </w:r>
          </w:p>
        </w:tc>
      </w:tr>
      <w:tr>
        <w:tc>
          <w:tcPr>
            <w:tcW w:type="dxa" w:w="3024"/>
            <w:vAlign w:val="top"/>
          </w:tcPr>
          <w:p>
            <w:pPr>
              <w:spacing w:after="0"/>
            </w:pPr>
            <w:r>
              <w:rPr>
                <w:sz w:val="16"/>
              </w:rPr>
              <w:t>Repeat-run statistics</w:t>
            </w:r>
          </w:p>
        </w:tc>
        <w:tc>
          <w:tcPr>
            <w:tcW w:type="dxa" w:w="2736"/>
            <w:vAlign w:val="top"/>
          </w:tcPr>
          <w:p>
            <w:pPr>
              <w:spacing w:after="0"/>
            </w:pPr>
            <w:r>
              <w:rPr>
                <w:sz w:val="16"/>
              </w:rPr>
              <w:t>Different random seeds</w:t>
            </w:r>
          </w:p>
        </w:tc>
        <w:tc>
          <w:tcPr>
            <w:tcW w:type="dxa" w:w="4608"/>
            <w:vAlign w:val="top"/>
          </w:tcPr>
          <w:p>
            <w:pPr>
              <w:spacing w:after="0"/>
            </w:pPr>
            <w:r>
              <w:rPr>
                <w:sz w:val="16"/>
              </w:rPr>
              <w:t>Uncertainty and reliability of the trend</w:t>
            </w:r>
          </w:p>
        </w:tc>
      </w:tr>
    </w:tbl>
    <w:p/>
    <w:p>
      <w:pPr>
        <w:pStyle w:val="Heading1"/>
      </w:pPr>
      <w:r>
        <w:rPr>
          <w:sz w:val="21"/>
        </w:rPr>
        <w:t>10. Validation and Sanity Checks</w:t>
      </w:r>
    </w:p>
    <w:tbl>
      <w:tblPr>
        <w:tblStyle w:val="TableGrid"/>
        <w:tblW w:type="auto" w:w="0"/>
        <w:tblLayout w:type="autofit"/>
        <w:tblLook w:firstColumn="1" w:firstRow="1" w:lastColumn="0" w:lastRow="0" w:noHBand="0" w:noVBand="1" w:val="04A0"/>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2592"/>
        <w:gridCol w:w="2592"/>
        <w:gridCol w:w="2592"/>
        <w:gridCol w:w="2592"/>
      </w:tblGrid>
      <w:tr>
        <w:tc>
          <w:tcPr>
            <w:tcW w:type="dxa" w:w="1872"/>
            <w:shd w:fill="D9EAF7"/>
            <w:vAlign w:val="top"/>
          </w:tcPr>
          <w:p>
            <w:pPr>
              <w:spacing w:after="0"/>
            </w:pPr>
            <w:r>
              <w:rPr>
                <w:b/>
                <w:sz w:val="16"/>
              </w:rPr>
            </w:r>
            <w:r>
              <w:rPr>
                <w:b/>
                <w:color w:val="FFFFFF"/>
                <w:sz w:val="16"/>
              </w:rPr>
              <w:t>Validation level</w:t>
            </w:r>
          </w:p>
        </w:tc>
        <w:tc>
          <w:tcPr>
            <w:tcW w:type="dxa" w:w="2880"/>
            <w:shd w:fill="D9EAF7"/>
            <w:vAlign w:val="top"/>
          </w:tcPr>
          <w:p>
            <w:pPr>
              <w:spacing w:after="0"/>
            </w:pPr>
            <w:r>
              <w:rPr>
                <w:b/>
                <w:sz w:val="16"/>
              </w:rPr>
            </w:r>
            <w:r>
              <w:rPr>
                <w:b/>
                <w:color w:val="FFFFFF"/>
                <w:sz w:val="16"/>
              </w:rPr>
              <w:t>Question</w:t>
            </w:r>
          </w:p>
        </w:tc>
        <w:tc>
          <w:tcPr>
            <w:tcW w:type="dxa" w:w="3024"/>
            <w:shd w:fill="D9EAF7"/>
            <w:vAlign w:val="top"/>
          </w:tcPr>
          <w:p>
            <w:pPr>
              <w:spacing w:after="0"/>
            </w:pPr>
            <w:r>
              <w:rPr>
                <w:b/>
                <w:sz w:val="16"/>
              </w:rPr>
            </w:r>
            <w:r>
              <w:rPr>
                <w:b/>
                <w:color w:val="FFFFFF"/>
                <w:sz w:val="16"/>
              </w:rPr>
              <w:t>Evidence</w:t>
            </w:r>
          </w:p>
        </w:tc>
        <w:tc>
          <w:tcPr>
            <w:tcW w:type="dxa" w:w="2736"/>
            <w:shd w:fill="D9EAF7"/>
            <w:vAlign w:val="top"/>
          </w:tcPr>
          <w:p>
            <w:pPr>
              <w:spacing w:after="0"/>
            </w:pPr>
            <w:r>
              <w:rPr>
                <w:b/>
                <w:sz w:val="16"/>
              </w:rPr>
            </w:r>
            <w:r>
              <w:rPr>
                <w:b/>
                <w:color w:val="FFFFFF"/>
                <w:sz w:val="16"/>
              </w:rPr>
              <w:t>Pass condition</w:t>
            </w:r>
          </w:p>
        </w:tc>
      </w:tr>
      <w:tr>
        <w:tc>
          <w:tcPr>
            <w:tcW w:type="dxa" w:w="1872"/>
            <w:vAlign w:val="top"/>
          </w:tcPr>
          <w:p>
            <w:pPr>
              <w:spacing w:after="0"/>
            </w:pPr>
            <w:r>
              <w:rPr>
                <w:sz w:val="16"/>
              </w:rPr>
              <w:t>Software</w:t>
            </w:r>
          </w:p>
        </w:tc>
        <w:tc>
          <w:tcPr>
            <w:tcW w:type="dxa" w:w="2880"/>
            <w:vAlign w:val="top"/>
          </w:tcPr>
          <w:p>
            <w:pPr>
              <w:spacing w:after="0"/>
            </w:pPr>
            <w:r>
              <w:rPr>
                <w:sz w:val="16"/>
              </w:rPr>
              <w:t>Do LAMMPS and OVITO work?</w:t>
            </w:r>
          </w:p>
        </w:tc>
        <w:tc>
          <w:tcPr>
            <w:tcW w:type="dxa" w:w="3024"/>
            <w:vAlign w:val="top"/>
          </w:tcPr>
          <w:p>
            <w:pPr>
              <w:spacing w:after="0"/>
            </w:pPr>
            <w:r>
              <w:rPr>
                <w:sz w:val="16"/>
              </w:rPr>
              <w:t>Phase 1 log, trajectory, screenshot</w:t>
            </w:r>
          </w:p>
        </w:tc>
        <w:tc>
          <w:tcPr>
            <w:tcW w:type="dxa" w:w="2736"/>
            <w:vAlign w:val="top"/>
          </w:tcPr>
          <w:p>
            <w:pPr>
              <w:spacing w:after="0"/>
            </w:pPr>
            <w:r>
              <w:rPr>
                <w:sz w:val="16"/>
              </w:rPr>
              <w:t>Trajectory opens and plays in OVITO</w:t>
            </w:r>
          </w:p>
        </w:tc>
      </w:tr>
      <w:tr>
        <w:tc>
          <w:tcPr>
            <w:tcW w:type="dxa" w:w="1872"/>
            <w:vAlign w:val="top"/>
          </w:tcPr>
          <w:p>
            <w:pPr>
              <w:spacing w:after="0"/>
            </w:pPr>
            <w:r>
              <w:rPr>
                <w:sz w:val="16"/>
              </w:rPr>
              <w:t>Structure</w:t>
            </w:r>
          </w:p>
        </w:tc>
        <w:tc>
          <w:tcPr>
            <w:tcW w:type="dxa" w:w="2880"/>
            <w:vAlign w:val="top"/>
          </w:tcPr>
          <w:p>
            <w:pPr>
              <w:spacing w:after="0"/>
            </w:pPr>
            <w:r>
              <w:rPr>
                <w:sz w:val="16"/>
              </w:rPr>
              <w:t>Is the model reasonable?</w:t>
            </w:r>
          </w:p>
        </w:tc>
        <w:tc>
          <w:tcPr>
            <w:tcW w:type="dxa" w:w="3024"/>
            <w:vAlign w:val="top"/>
          </w:tcPr>
          <w:p>
            <w:pPr>
              <w:spacing w:after="0"/>
            </w:pPr>
            <w:r>
              <w:rPr>
                <w:sz w:val="16"/>
              </w:rPr>
              <w:t>Atom counts, minimum distances, OVITO view</w:t>
            </w:r>
          </w:p>
        </w:tc>
        <w:tc>
          <w:tcPr>
            <w:tcW w:type="dxa" w:w="2736"/>
            <w:vAlign w:val="top"/>
          </w:tcPr>
          <w:p>
            <w:pPr>
              <w:spacing w:after="0"/>
            </w:pPr>
            <w:r>
              <w:rPr>
                <w:sz w:val="16"/>
              </w:rPr>
              <w:t>No overlaps; Li placement plausible; box/vacuum reasonable</w:t>
            </w:r>
          </w:p>
        </w:tc>
      </w:tr>
      <w:tr>
        <w:tc>
          <w:tcPr>
            <w:tcW w:type="dxa" w:w="1872"/>
            <w:vAlign w:val="top"/>
          </w:tcPr>
          <w:p>
            <w:pPr>
              <w:spacing w:after="0"/>
            </w:pPr>
            <w:r>
              <w:rPr>
                <w:sz w:val="16"/>
              </w:rPr>
              <w:t>Force field</w:t>
            </w:r>
          </w:p>
        </w:tc>
        <w:tc>
          <w:tcPr>
            <w:tcW w:type="dxa" w:w="2880"/>
            <w:vAlign w:val="top"/>
          </w:tcPr>
          <w:p>
            <w:pPr>
              <w:spacing w:after="0"/>
            </w:pPr>
            <w:r>
              <w:rPr>
                <w:sz w:val="16"/>
              </w:rPr>
              <w:t>Does Li-Si-C ReaxFF load correctly?</w:t>
            </w:r>
          </w:p>
        </w:tc>
        <w:tc>
          <w:tcPr>
            <w:tcW w:type="dxa" w:w="3024"/>
            <w:vAlign w:val="top"/>
          </w:tcPr>
          <w:p>
            <w:pPr>
              <w:spacing w:after="0"/>
            </w:pPr>
            <w:r>
              <w:rPr>
                <w:sz w:val="16"/>
              </w:rPr>
              <w:t>Short run log and charges</w:t>
            </w:r>
          </w:p>
        </w:tc>
        <w:tc>
          <w:tcPr>
            <w:tcW w:type="dxa" w:w="2736"/>
            <w:vAlign w:val="top"/>
          </w:tcPr>
          <w:p>
            <w:pPr>
              <w:spacing w:after="0"/>
            </w:pPr>
            <w:r>
              <w:rPr>
                <w:sz w:val="16"/>
              </w:rPr>
              <w:t>No immediate crash; finite charges; correct atom mapping</w:t>
            </w:r>
          </w:p>
        </w:tc>
      </w:tr>
      <w:tr>
        <w:tc>
          <w:tcPr>
            <w:tcW w:type="dxa" w:w="1872"/>
            <w:vAlign w:val="top"/>
          </w:tcPr>
          <w:p>
            <w:pPr>
              <w:spacing w:after="0"/>
            </w:pPr>
            <w:r>
              <w:rPr>
                <w:sz w:val="16"/>
              </w:rPr>
              <w:t>QEq</w:t>
            </w:r>
          </w:p>
        </w:tc>
        <w:tc>
          <w:tcPr>
            <w:tcW w:type="dxa" w:w="2880"/>
            <w:vAlign w:val="top"/>
          </w:tcPr>
          <w:p>
            <w:pPr>
              <w:spacing w:after="0"/>
            </w:pPr>
            <w:r>
              <w:rPr>
                <w:sz w:val="16"/>
              </w:rPr>
              <w:t>Does charge equilibration behave?</w:t>
            </w:r>
          </w:p>
        </w:tc>
        <w:tc>
          <w:tcPr>
            <w:tcW w:type="dxa" w:w="3024"/>
            <w:vAlign w:val="top"/>
          </w:tcPr>
          <w:p>
            <w:pPr>
              <w:spacing w:after="0"/>
            </w:pPr>
            <w:r>
              <w:rPr>
                <w:sz w:val="16"/>
              </w:rPr>
              <w:t>QEq output and absence of max-iteration warnings</w:t>
            </w:r>
          </w:p>
        </w:tc>
        <w:tc>
          <w:tcPr>
            <w:tcW w:type="dxa" w:w="2736"/>
            <w:vAlign w:val="top"/>
          </w:tcPr>
          <w:p>
            <w:pPr>
              <w:spacing w:after="0"/>
            </w:pPr>
            <w:r>
              <w:rPr>
                <w:sz w:val="16"/>
              </w:rPr>
              <w:t>QEq converges or warnings are documented and fixed</w:t>
            </w:r>
          </w:p>
        </w:tc>
      </w:tr>
      <w:tr>
        <w:tc>
          <w:tcPr>
            <w:tcW w:type="dxa" w:w="1872"/>
            <w:vAlign w:val="top"/>
          </w:tcPr>
          <w:p>
            <w:pPr>
              <w:spacing w:after="0"/>
            </w:pPr>
            <w:r>
              <w:rPr>
                <w:sz w:val="16"/>
              </w:rPr>
              <w:t>MD stability</w:t>
            </w:r>
          </w:p>
        </w:tc>
        <w:tc>
          <w:tcPr>
            <w:tcW w:type="dxa" w:w="2880"/>
            <w:vAlign w:val="top"/>
          </w:tcPr>
          <w:p>
            <w:pPr>
              <w:spacing w:after="0"/>
            </w:pPr>
            <w:r>
              <w:rPr>
                <w:sz w:val="16"/>
              </w:rPr>
              <w:t>Does the system stay physical?</w:t>
            </w:r>
          </w:p>
        </w:tc>
        <w:tc>
          <w:tcPr>
            <w:tcW w:type="dxa" w:w="3024"/>
            <w:vAlign w:val="top"/>
          </w:tcPr>
          <w:p>
            <w:pPr>
              <w:spacing w:after="0"/>
            </w:pPr>
            <w:r>
              <w:rPr>
                <w:sz w:val="16"/>
              </w:rPr>
              <w:t>Temperature/energy plots and OVITO trajectory</w:t>
            </w:r>
          </w:p>
        </w:tc>
        <w:tc>
          <w:tcPr>
            <w:tcW w:type="dxa" w:w="2736"/>
            <w:vAlign w:val="top"/>
          </w:tcPr>
          <w:p>
            <w:pPr>
              <w:spacing w:after="0"/>
            </w:pPr>
            <w:r>
              <w:rPr>
                <w:sz w:val="16"/>
              </w:rPr>
              <w:t>No atom explosion or unphysical collapse</w:t>
            </w:r>
          </w:p>
        </w:tc>
      </w:tr>
      <w:tr>
        <w:tc>
          <w:tcPr>
            <w:tcW w:type="dxa" w:w="1872"/>
            <w:vAlign w:val="top"/>
          </w:tcPr>
          <w:p>
            <w:pPr>
              <w:spacing w:after="0"/>
            </w:pPr>
            <w:r>
              <w:rPr>
                <w:sz w:val="16"/>
              </w:rPr>
              <w:t>Analysis</w:t>
            </w:r>
          </w:p>
        </w:tc>
        <w:tc>
          <w:tcPr>
            <w:tcW w:type="dxa" w:w="2880"/>
            <w:vAlign w:val="top"/>
          </w:tcPr>
          <w:p>
            <w:pPr>
              <w:spacing w:after="0"/>
            </w:pPr>
            <w:r>
              <w:rPr>
                <w:sz w:val="16"/>
              </w:rPr>
              <w:t>Is diffusion extracted consistently?</w:t>
            </w:r>
          </w:p>
        </w:tc>
        <w:tc>
          <w:tcPr>
            <w:tcW w:type="dxa" w:w="3024"/>
            <w:vAlign w:val="top"/>
          </w:tcPr>
          <w:p>
            <w:pPr>
              <w:spacing w:after="0"/>
            </w:pPr>
            <w:r>
              <w:rPr>
                <w:sz w:val="16"/>
              </w:rPr>
              <w:t>MSD scripts and fitting window notes</w:t>
            </w:r>
          </w:p>
        </w:tc>
        <w:tc>
          <w:tcPr>
            <w:tcW w:type="dxa" w:w="2736"/>
            <w:vAlign w:val="top"/>
          </w:tcPr>
          <w:p>
            <w:pPr>
              <w:spacing w:after="0"/>
            </w:pPr>
            <w:r>
              <w:rPr>
                <w:sz w:val="16"/>
              </w:rPr>
              <w:t>Same method for Model A and Model B</w:t>
            </w:r>
          </w:p>
        </w:tc>
      </w:tr>
      <w:tr>
        <w:tc>
          <w:tcPr>
            <w:tcW w:type="dxa" w:w="1872"/>
            <w:vAlign w:val="top"/>
          </w:tcPr>
          <w:p>
            <w:pPr>
              <w:spacing w:after="0"/>
            </w:pPr>
            <w:r>
              <w:rPr>
                <w:sz w:val="16"/>
              </w:rPr>
              <w:t>Literature</w:t>
            </w:r>
          </w:p>
        </w:tc>
        <w:tc>
          <w:tcPr>
            <w:tcW w:type="dxa" w:w="2880"/>
            <w:vAlign w:val="top"/>
          </w:tcPr>
          <w:p>
            <w:pPr>
              <w:spacing w:after="0"/>
            </w:pPr>
            <w:r>
              <w:rPr>
                <w:sz w:val="16"/>
              </w:rPr>
              <w:t>Are claims defensible?</w:t>
            </w:r>
          </w:p>
        </w:tc>
        <w:tc>
          <w:tcPr>
            <w:tcW w:type="dxa" w:w="3024"/>
            <w:vAlign w:val="top"/>
          </w:tcPr>
          <w:p>
            <w:pPr>
              <w:spacing w:after="0"/>
            </w:pPr>
            <w:r>
              <w:rPr>
                <w:sz w:val="16"/>
              </w:rPr>
              <w:t>Comparison to references [1-5]</w:t>
            </w:r>
          </w:p>
        </w:tc>
        <w:tc>
          <w:tcPr>
            <w:tcW w:type="dxa" w:w="2736"/>
            <w:vAlign w:val="top"/>
          </w:tcPr>
          <w:p>
            <w:pPr>
              <w:spacing w:after="0"/>
            </w:pPr>
            <w:r>
              <w:rPr>
                <w:sz w:val="16"/>
              </w:rPr>
              <w:t>Final claim remains comparative</w:t>
            </w:r>
          </w:p>
        </w:tc>
      </w:tr>
    </w:tbl>
    <w:p/>
    <w:p>
      <w:pPr>
        <w:pStyle w:val="Heading1"/>
      </w:pPr>
      <w:r>
        <w:rPr>
          <w:sz w:val="21"/>
        </w:rPr>
        <w:t>11. Limitations and Risk Controls</w:t>
      </w:r>
    </w:p>
    <w:tbl>
      <w:tblPr>
        <w:tblStyle w:val="TableGrid"/>
        <w:tblW w:type="auto" w:w="0"/>
        <w:tblLayout w:type="autofit"/>
        <w:tblLook w:firstColumn="1" w:firstRow="1" w:lastColumn="0" w:lastRow="0" w:noHBand="0" w:noVBand="1" w:val="04A0"/>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3456"/>
        <w:gridCol w:w="3456"/>
        <w:gridCol w:w="3456"/>
      </w:tblGrid>
      <w:tr>
        <w:tc>
          <w:tcPr>
            <w:tcW w:type="dxa" w:w="2448"/>
            <w:shd w:fill="D9EAF7"/>
            <w:vAlign w:val="top"/>
          </w:tcPr>
          <w:p>
            <w:pPr>
              <w:spacing w:after="0"/>
            </w:pPr>
            <w:r>
              <w:rPr>
                <w:b/>
                <w:sz w:val="16"/>
              </w:rPr>
            </w:r>
            <w:r>
              <w:rPr>
                <w:b/>
                <w:color w:val="FFFFFF"/>
                <w:sz w:val="16"/>
              </w:rPr>
              <w:t>Risk</w:t>
            </w:r>
          </w:p>
        </w:tc>
        <w:tc>
          <w:tcPr>
            <w:tcW w:type="dxa" w:w="3456"/>
            <w:shd w:fill="D9EAF7"/>
            <w:vAlign w:val="top"/>
          </w:tcPr>
          <w:p>
            <w:pPr>
              <w:spacing w:after="0"/>
            </w:pPr>
            <w:r>
              <w:rPr>
                <w:b/>
                <w:sz w:val="16"/>
              </w:rPr>
            </w:r>
            <w:r>
              <w:rPr>
                <w:b/>
                <w:color w:val="FFFFFF"/>
                <w:sz w:val="16"/>
              </w:rPr>
              <w:t>Why it matters</w:t>
            </w:r>
          </w:p>
        </w:tc>
        <w:tc>
          <w:tcPr>
            <w:tcW w:type="dxa" w:w="4320"/>
            <w:shd w:fill="D9EAF7"/>
            <w:vAlign w:val="top"/>
          </w:tcPr>
          <w:p>
            <w:pPr>
              <w:spacing w:after="0"/>
            </w:pPr>
            <w:r>
              <w:rPr>
                <w:b/>
                <w:sz w:val="16"/>
              </w:rPr>
            </w:r>
            <w:r>
              <w:rPr>
                <w:b/>
                <w:color w:val="FFFFFF"/>
                <w:sz w:val="16"/>
              </w:rPr>
              <w:t>Control</w:t>
            </w:r>
          </w:p>
        </w:tc>
      </w:tr>
      <w:tr>
        <w:tc>
          <w:tcPr>
            <w:tcW w:type="dxa" w:w="2448"/>
            <w:vAlign w:val="top"/>
          </w:tcPr>
          <w:p>
            <w:pPr>
              <w:spacing w:after="0"/>
            </w:pPr>
            <w:r>
              <w:rPr>
                <w:sz w:val="16"/>
              </w:rPr>
              <w:t>Unvalidated force field</w:t>
            </w:r>
          </w:p>
        </w:tc>
        <w:tc>
          <w:tcPr>
            <w:tcW w:type="dxa" w:w="3456"/>
            <w:vAlign w:val="top"/>
          </w:tcPr>
          <w:p>
            <w:pPr>
              <w:spacing w:after="0"/>
            </w:pPr>
            <w:r>
              <w:rPr>
                <w:sz w:val="16"/>
              </w:rPr>
              <w:t>Can create misleading diffusion trends</w:t>
            </w:r>
          </w:p>
        </w:tc>
        <w:tc>
          <w:tcPr>
            <w:tcW w:type="dxa" w:w="4320"/>
            <w:vAlign w:val="top"/>
          </w:tcPr>
          <w:p>
            <w:pPr>
              <w:spacing w:after="0"/>
            </w:pPr>
            <w:r>
              <w:rPr>
                <w:sz w:val="16"/>
              </w:rPr>
              <w:t>Use Li-Si-C ReaxFF; document source and mapping; run subsystem sanity checks</w:t>
            </w:r>
          </w:p>
        </w:tc>
      </w:tr>
      <w:tr>
        <w:tc>
          <w:tcPr>
            <w:tcW w:type="dxa" w:w="2448"/>
            <w:vAlign w:val="top"/>
          </w:tcPr>
          <w:p>
            <w:pPr>
              <w:spacing w:after="0"/>
            </w:pPr>
            <w:r>
              <w:rPr>
                <w:sz w:val="16"/>
              </w:rPr>
              <w:t>Too-short trajectory</w:t>
            </w:r>
          </w:p>
        </w:tc>
        <w:tc>
          <w:tcPr>
            <w:tcW w:type="dxa" w:w="3456"/>
            <w:vAlign w:val="top"/>
          </w:tcPr>
          <w:p>
            <w:pPr>
              <w:spacing w:after="0"/>
            </w:pPr>
            <w:r>
              <w:rPr>
                <w:sz w:val="16"/>
              </w:rPr>
              <w:t>MSD may not reach a linear regime</w:t>
            </w:r>
          </w:p>
        </w:tc>
        <w:tc>
          <w:tcPr>
            <w:tcW w:type="dxa" w:w="4320"/>
            <w:vAlign w:val="top"/>
          </w:tcPr>
          <w:p>
            <w:pPr>
              <w:spacing w:after="0"/>
            </w:pPr>
            <w:r>
              <w:rPr>
                <w:sz w:val="16"/>
              </w:rPr>
              <w:t>Extend production; report fitting window; do repeat runs</w:t>
            </w:r>
          </w:p>
        </w:tc>
      </w:tr>
      <w:tr>
        <w:tc>
          <w:tcPr>
            <w:tcW w:type="dxa" w:w="2448"/>
            <w:vAlign w:val="top"/>
          </w:tcPr>
          <w:p>
            <w:pPr>
              <w:spacing w:after="0"/>
            </w:pPr>
            <w:r>
              <w:rPr>
                <w:sz w:val="16"/>
              </w:rPr>
              <w:t>High-temperature overinterpretation</w:t>
            </w:r>
          </w:p>
        </w:tc>
        <w:tc>
          <w:tcPr>
            <w:tcW w:type="dxa" w:w="3456"/>
            <w:vAlign w:val="top"/>
          </w:tcPr>
          <w:p>
            <w:pPr>
              <w:spacing w:after="0"/>
            </w:pPr>
            <w:r>
              <w:rPr>
                <w:sz w:val="16"/>
              </w:rPr>
              <w:t>800-1200 K results are not room-temperature battery predictions</w:t>
            </w:r>
          </w:p>
        </w:tc>
        <w:tc>
          <w:tcPr>
            <w:tcW w:type="dxa" w:w="4320"/>
            <w:vAlign w:val="top"/>
          </w:tcPr>
          <w:p>
            <w:pPr>
              <w:spacing w:after="0"/>
            </w:pPr>
            <w:r>
              <w:rPr>
                <w:sz w:val="16"/>
              </w:rPr>
              <w:t>State that conclusions are comparative under the chosen MD protocol</w:t>
            </w:r>
          </w:p>
        </w:tc>
      </w:tr>
      <w:tr>
        <w:tc>
          <w:tcPr>
            <w:tcW w:type="dxa" w:w="2448"/>
            <w:vAlign w:val="top"/>
          </w:tcPr>
          <w:p>
            <w:pPr>
              <w:spacing w:after="0"/>
            </w:pPr>
            <w:r>
              <w:rPr>
                <w:sz w:val="16"/>
              </w:rPr>
              <w:t>Defect concentration artifact</w:t>
            </w:r>
          </w:p>
        </w:tc>
        <w:tc>
          <w:tcPr>
            <w:tcW w:type="dxa" w:w="3456"/>
            <w:vAlign w:val="top"/>
          </w:tcPr>
          <w:p>
            <w:pPr>
              <w:spacing w:after="0"/>
            </w:pPr>
            <w:r>
              <w:rPr>
                <w:sz w:val="16"/>
              </w:rPr>
              <w:t>Small cells exaggerate vacancy concentration</w:t>
            </w:r>
          </w:p>
        </w:tc>
        <w:tc>
          <w:tcPr>
            <w:tcW w:type="dxa" w:w="4320"/>
            <w:vAlign w:val="top"/>
          </w:tcPr>
          <w:p>
            <w:pPr>
              <w:spacing w:after="0"/>
            </w:pPr>
            <w:r>
              <w:rPr>
                <w:sz w:val="16"/>
              </w:rPr>
              <w:t>Document cell size; keep Model A/B dimensions consistent; do larger-cell check if possible</w:t>
            </w:r>
          </w:p>
        </w:tc>
      </w:tr>
      <w:tr>
        <w:tc>
          <w:tcPr>
            <w:tcW w:type="dxa" w:w="2448"/>
            <w:vAlign w:val="top"/>
          </w:tcPr>
          <w:p>
            <w:pPr>
              <w:spacing w:after="0"/>
            </w:pPr>
            <w:r>
              <w:rPr>
                <w:sz w:val="16"/>
              </w:rPr>
              <w:t>Anisotropic diffusion</w:t>
            </w:r>
          </w:p>
        </w:tc>
        <w:tc>
          <w:tcPr>
            <w:tcW w:type="dxa" w:w="3456"/>
            <w:vAlign w:val="top"/>
          </w:tcPr>
          <w:p>
            <w:pPr>
              <w:spacing w:after="0"/>
            </w:pPr>
            <w:r>
              <w:rPr>
                <w:sz w:val="16"/>
              </w:rPr>
              <w:t>3D MSD can hide interface-parallel motion</w:t>
            </w:r>
          </w:p>
        </w:tc>
        <w:tc>
          <w:tcPr>
            <w:tcW w:type="dxa" w:w="4320"/>
            <w:vAlign w:val="top"/>
          </w:tcPr>
          <w:p>
            <w:pPr>
              <w:spacing w:after="0"/>
            </w:pPr>
            <w:r>
              <w:rPr>
                <w:sz w:val="16"/>
              </w:rPr>
              <w:t>Report in-plane and z components when possible</w:t>
            </w:r>
          </w:p>
        </w:tc>
      </w:tr>
      <w:tr>
        <w:tc>
          <w:tcPr>
            <w:tcW w:type="dxa" w:w="2448"/>
            <w:vAlign w:val="top"/>
          </w:tcPr>
          <w:p>
            <w:pPr>
              <w:spacing w:after="0"/>
            </w:pPr>
            <w:r>
              <w:rPr>
                <w:sz w:val="16"/>
              </w:rPr>
              <w:t>Single-run noise</w:t>
            </w:r>
          </w:p>
        </w:tc>
        <w:tc>
          <w:tcPr>
            <w:tcW w:type="dxa" w:w="3456"/>
            <w:vAlign w:val="top"/>
          </w:tcPr>
          <w:p>
            <w:pPr>
              <w:spacing w:after="0"/>
            </w:pPr>
            <w:r>
              <w:rPr>
                <w:sz w:val="16"/>
              </w:rPr>
              <w:t>Diffusion coefficients fluctuate</w:t>
            </w:r>
          </w:p>
        </w:tc>
        <w:tc>
          <w:tcPr>
            <w:tcW w:type="dxa" w:w="4320"/>
            <w:vAlign w:val="top"/>
          </w:tcPr>
          <w:p>
            <w:pPr>
              <w:spacing w:after="0"/>
            </w:pPr>
            <w:r>
              <w:rPr>
                <w:sz w:val="16"/>
              </w:rPr>
              <w:t>Run independent seeds and report uncertainty</w:t>
            </w:r>
          </w:p>
        </w:tc>
      </w:tr>
      <w:tr>
        <w:tc>
          <w:tcPr>
            <w:tcW w:type="dxa" w:w="2448"/>
            <w:vAlign w:val="top"/>
          </w:tcPr>
          <w:p>
            <w:pPr>
              <w:spacing w:after="0"/>
            </w:pPr>
            <w:r>
              <w:rPr>
                <w:sz w:val="16"/>
              </w:rPr>
              <w:t>Unverified literature numbers</w:t>
            </w:r>
          </w:p>
        </w:tc>
        <w:tc>
          <w:tcPr>
            <w:tcW w:type="dxa" w:w="3456"/>
            <w:vAlign w:val="top"/>
          </w:tcPr>
          <w:p>
            <w:pPr>
              <w:spacing w:after="0"/>
            </w:pPr>
            <w:r>
              <w:rPr>
                <w:sz w:val="16"/>
              </w:rPr>
              <w:t>Incorrect values weaken the methods section</w:t>
            </w:r>
          </w:p>
        </w:tc>
        <w:tc>
          <w:tcPr>
            <w:tcW w:type="dxa" w:w="4320"/>
            <w:vAlign w:val="top"/>
          </w:tcPr>
          <w:p>
            <w:pPr>
              <w:spacing w:after="0"/>
            </w:pPr>
            <w:r>
              <w:rPr>
                <w:sz w:val="16"/>
              </w:rPr>
              <w:t>Only use values directly verified from primary sources; mark unknowns pending</w:t>
            </w:r>
          </w:p>
        </w:tc>
      </w:tr>
    </w:tbl>
    <w:p/>
    <w:p>
      <w:pPr>
        <w:pStyle w:val="Heading1"/>
      </w:pPr>
      <w:r>
        <w:rPr>
          <w:sz w:val="21"/>
        </w:rPr>
        <w:t>12. Expected Deliverables</w:t>
      </w:r>
    </w:p>
    <w:p>
      <w:pPr>
        <w:pStyle w:val="ListBullet"/>
      </w:pPr>
      <w:r>
        <w:rPr>
          <w:sz w:val="21"/>
        </w:rPr>
        <w:t>Phase 1 LAMMPS + OVITO validation screenshot.</w:t>
      </w:r>
    </w:p>
    <w:p>
      <w:pPr>
        <w:pStyle w:val="ListBullet"/>
      </w:pPr>
      <w:r>
        <w:rPr>
          <w:sz w:val="21"/>
        </w:rPr>
        <w:t>Phase 2 graphene + Li structure-generation script and OVITO screenshot.</w:t>
      </w:r>
    </w:p>
    <w:p>
      <w:pPr>
        <w:pStyle w:val="ListBullet"/>
      </w:pPr>
      <w:r>
        <w:rPr>
          <w:sz w:val="21"/>
        </w:rPr>
        <w:t>Force-field source note with exact Li-Si-C ReaxFF file name and atom mapping.</w:t>
      </w:r>
    </w:p>
    <w:p>
      <w:pPr>
        <w:pStyle w:val="ListBullet"/>
      </w:pPr>
      <w:r>
        <w:rPr>
          <w:sz w:val="21"/>
        </w:rPr>
        <w:t>LAMMPS data files for Model A and Model B.</w:t>
      </w:r>
    </w:p>
    <w:p>
      <w:pPr>
        <w:pStyle w:val="ListBullet"/>
      </w:pPr>
      <w:r>
        <w:rPr>
          <w:sz w:val="21"/>
        </w:rPr>
        <w:t>Minimization, equilibration, and production LAMMPS input scripts.</w:t>
      </w:r>
    </w:p>
    <w:p>
      <w:pPr>
        <w:pStyle w:val="ListBullet"/>
      </w:pPr>
      <w:r>
        <w:rPr>
          <w:sz w:val="21"/>
        </w:rPr>
        <w:t>Temperature and energy stability plots.</w:t>
      </w:r>
    </w:p>
    <w:p>
      <w:pPr>
        <w:pStyle w:val="ListBullet"/>
      </w:pPr>
      <w:r>
        <w:rPr>
          <w:sz w:val="21"/>
        </w:rPr>
        <w:t>Li MSD curves for pristine and defective models.</w:t>
      </w:r>
    </w:p>
    <w:p>
      <w:pPr>
        <w:pStyle w:val="ListBullet"/>
      </w:pPr>
      <w:r>
        <w:rPr>
          <w:sz w:val="21"/>
        </w:rPr>
        <w:t>Diffusion coefficients with fitting-window documentation and unit conversion.</w:t>
      </w:r>
    </w:p>
    <w:p>
      <w:pPr>
        <w:pStyle w:val="ListBullet"/>
      </w:pPr>
      <w:r>
        <w:rPr>
          <w:sz w:val="21"/>
        </w:rPr>
        <w:t>Repeat-run uncertainty if feasible.</w:t>
      </w:r>
    </w:p>
    <w:p>
      <w:pPr>
        <w:pStyle w:val="ListBullet"/>
      </w:pPr>
      <w:r>
        <w:rPr>
          <w:sz w:val="21"/>
        </w:rPr>
        <w:t>OVITO snapshots showing Li motion/pathways.</w:t>
      </w:r>
    </w:p>
    <w:p>
      <w:pPr>
        <w:pStyle w:val="ListBullet"/>
      </w:pPr>
      <w:r>
        <w:rPr>
          <w:sz w:val="21"/>
        </w:rPr>
        <w:t>Final report or manuscript-style paper with limitations and literature comparison.</w:t>
      </w:r>
    </w:p>
    <w:p>
      <w:pPr>
        <w:pStyle w:val="Heading1"/>
      </w:pPr>
      <w:r>
        <w:rPr>
          <w:sz w:val="21"/>
        </w:rPr>
        <w:t>13. Planned Final Claim Format</w:t>
      </w:r>
    </w:p>
    <w:p>
      <w:r>
        <w:rPr>
          <w:sz w:val="21"/>
        </w:rPr>
        <w:t>A suitable final claim will be:</w:t>
      </w:r>
    </w:p>
    <w:p>
      <w:r>
        <w:rPr>
          <w:i/>
          <w:sz w:val="21"/>
        </w:rPr>
        <w:t>This study compares relative lithium diffusion behavior in simplified pristine and vacancy-defective Si-graphene interface models under a common molecular dynamics protocol. The results indicate whether graphene vacancy defects increase, decrease, or do not significantly change Li mobility within the limits of the chosen Li-Si-C ReaxFF force field, model size, temperature, and simulation length.</w:t>
      </w:r>
    </w:p>
    <w:tbl>
      <w:tblPr>
        <w:tblW w:type="auto" w:w="0"/>
        <w:tblLayout w:type="autofit"/>
        <w:tblLook w:firstColumn="1" w:firstRow="1" w:lastColumn="0" w:lastRow="0" w:noHBand="0" w:noVBand="1" w:val="04A0"/>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10368"/>
      </w:tblGrid>
      <w:tr>
        <w:tc>
          <w:tcPr>
            <w:tcW w:type="dxa" w:w="10368"/>
            <w:shd w:fill="D9EAF7"/>
            <w:vAlign w:val="top"/>
          </w:tcPr>
          <w:p>
            <w:pPr>
              <w:spacing w:after="0"/>
            </w:pPr>
            <w:r>
              <w:rPr>
                <w:b/>
                <w:sz w:val="16"/>
              </w:rPr>
            </w:r>
            <w:r>
              <w:rPr>
                <w:b/>
                <w:sz w:val="16"/>
              </w:rPr>
              <w:t xml:space="preserve">Claim boundary: </w:t>
            </w:r>
            <w:r>
              <w:rPr>
                <w:b/>
                <w:sz w:val="16"/>
              </w:rPr>
              <w:t>Do not claim that the model proves improved real battery performance. Experimental cell testing and longer multiscale modeling would be required for that claim.</w:t>
            </w:r>
          </w:p>
        </w:tc>
      </w:tr>
    </w:tbl>
    <w:p/>
    <w:p>
      <w:pPr>
        <w:pStyle w:val="Heading1"/>
      </w:pPr>
      <w:r>
        <w:rPr>
          <w:sz w:val="21"/>
        </w:rPr>
        <w:t>References</w:t>
      </w:r>
    </w:p>
    <w:p>
      <w:pPr>
        <w:ind w:left="360" w:hanging="360"/>
      </w:pPr>
      <w:r>
        <w:rPr>
          <w:b/>
          <w:sz w:val="21"/>
        </w:rPr>
        <w:t xml:space="preserve">[1] </w:t>
      </w:r>
      <w:r>
        <w:rPr>
          <w:sz w:val="21"/>
        </w:rPr>
        <w:t>Chou, C.-Y.; Hwang, G. S. Role of Interface in the Lithiation of Silicon-Graphene Composites: A First Principles Study. Journal of Physical Chemistry C 2013, 117, 9598-9604. DOI: 10.1021/jp402368k.</w:t>
      </w:r>
    </w:p>
    <w:p>
      <w:pPr>
        <w:ind w:left="360" w:hanging="360"/>
      </w:pPr>
      <w:r>
        <w:rPr>
          <w:b/>
          <w:sz w:val="21"/>
        </w:rPr>
        <w:t xml:space="preserve">[2] </w:t>
      </w:r>
      <w:r>
        <w:rPr>
          <w:sz w:val="21"/>
        </w:rPr>
        <w:t>Qin, S.; et al. Lithium Diffusion in Silicon Encapsulated with Graphene. Nanomaterials 2021, 11, 3397. DOI: 10.3390/nano11123397.</w:t>
      </w:r>
    </w:p>
    <w:p>
      <w:pPr>
        <w:ind w:left="360" w:hanging="360"/>
      </w:pPr>
      <w:r>
        <w:rPr>
          <w:sz w:val="21"/>
        </w:rPr>
        <w:t>[3] Gao, X.; Lu, W.; Xu, J. Insights into the Li Diffusion Mechanism in Si/C Composite Anodes for Lithium-Ion Batteries. ACS Applied Materials &amp; Interfaces 2021, 13, 21362-21370. DOI: 10.1021/acsami.1c03366.</w:t>
      </w:r>
    </w:p>
    <w:p>
      <w:pPr>
        <w:ind w:left="360" w:hanging="360"/>
      </w:pPr>
      <w:r>
        <w:rPr>
          <w:b/>
          <w:sz w:val="21"/>
        </w:rPr>
        <w:t xml:space="preserve">[4] </w:t>
      </w:r>
      <w:r>
        <w:rPr>
          <w:sz w:val="21"/>
        </w:rPr>
        <w:t>Olou'ou Guifo, S. B.; Mueller, J. E.; van Duin, D.; Talkhoncheh, M. K.; van Duin, A. C. T.; Henriques, D.; Markus, T. Development and Validation of a ReaxFF Reactive Force Field for Modeling Silicon-Carbon Composite Anode Materials in Lithium-Ion Batteries. Journal of Physical Chemistry C 2023, 127(6), 2818-2834. DOI: 10.1021/acs.jpcc.2c07773.</w:t>
      </w:r>
    </w:p>
    <w:p>
      <w:pPr>
        <w:ind w:left="360" w:hanging="360"/>
      </w:pPr>
      <w:r>
        <w:rPr>
          <w:b/>
          <w:sz w:val="21"/>
        </w:rPr>
        <w:t xml:space="preserve">[5] </w:t>
      </w:r>
      <w:r>
        <w:rPr>
          <w:sz w:val="21"/>
        </w:rPr>
        <w:t>Lashani Zand, A.; et al. Comprehensive Study of Lithium Diffusion in Si/C-Layer and Si/CN Composite Anodes. ACS Omega 2023, 8, 44698-44707. DOI: 10.1021/acsomega.3c05523.</w:t>
      </w:r>
    </w:p>
    <w:p>
      <w:pPr>
        <w:ind w:left="360" w:hanging="360"/>
      </w:pPr>
      <w:r>
        <w:rPr>
          <w:b/>
          <w:sz w:val="21"/>
        </w:rPr>
        <w:t xml:space="preserve">[6] </w:t>
      </w:r>
      <w:r>
        <w:rPr>
          <w:sz w:val="21"/>
        </w:rPr>
        <w:t>LAMMPS Documentation. pair_style reaxff command. https://docs.lammps.org/pair_reaxff.html.</w:t>
      </w:r>
    </w:p>
    <w:p>
      <w:pPr>
        <w:ind w:left="360" w:hanging="360"/>
      </w:pPr>
      <w:r>
        <w:rPr>
          <w:b/>
          <w:sz w:val="21"/>
        </w:rPr>
        <w:t xml:space="preserve">[7] </w:t>
      </w:r>
      <w:r>
        <w:rPr>
          <w:sz w:val="21"/>
        </w:rPr>
        <w:t>LAMMPS Documentation. fix qeq/reaxff command. https://docs.lammps.org/fix_qeq_reaxff.html.</w:t>
      </w:r>
    </w:p>
    <w:p>
      <w:pPr>
        <w:ind w:left="360" w:hanging="360"/>
      </w:pPr>
      <w:r>
        <w:rPr>
          <w:b/>
          <w:sz w:val="21"/>
        </w:rPr>
        <w:t xml:space="preserve">[8] </w:t>
      </w:r>
      <w:r>
        <w:rPr>
          <w:sz w:val="21"/>
        </w:rPr>
        <w:t>LAMMPS Documentation. compute msd command. https://docs.lammps.org/compute_msd.html.</w:t>
      </w:r>
    </w:p>
    <w:p>
      <w:pPr>
        <w:ind w:left="360" w:hanging="360"/>
      </w:pPr>
      <w:r>
        <w:rPr>
          <w:sz w:val="21"/>
        </w:rPr>
        <w:t>[9] Si, L.; Huang, R.; Liu, F.; Chen, Q.; Ouyang, P.; Dou, Z. Study on the Influence of Defective Graphene on the Li Diffusion Performance in Si/Defective Graphene Composite Anodes: an Ab Initio Molecular Dynamics Study. ACS Omega 2025, 10, 19502-19509. DOI: 10.1021/acsomega.4c11709.</w:t>
      </w:r>
    </w:p>
    <w:p>
      <w:r>
        <w:rPr>
          <w:i/>
          <w:sz w:val="21"/>
        </w:rPr>
        <w:t>Revision note: This document intentionally marks untested project-specific values as pending. Final values should be filled in only after the corresponding validation phase passes.</w:t>
      </w:r>
    </w:p>
    <w:sectPr w:rsidR="00FC693F" w:rsidRPr="0006063C" w:rsidSect="00034616">
      <w:pgSz w:w="12240" w:h="15840"/>
      <w:pgMar w:top="1008" w:right="1008" w:bottom="1008"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Arial" w:hAnsi="Arial" w:eastAsia="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eastAsia="Arial"/>
      <w:b/>
      <w:bCs/>
      <w:color w:val="1F4E79"/>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eastAsia="Arial"/>
      <w:b/>
      <w:bCs/>
      <w:color w:val="365F9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eastAsia="Arial"/>
      <w:b/>
      <w:bCs/>
      <w:color w:val="365F91"/>
      <w:sz w:val="2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eastAsia="Arial"/>
      <w:b/>
      <w:color w:val="1F4E79"/>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