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color w:val="8A7F86"/>
          <w:sz w:val="24"/>
          <w:szCs w:val="24"/>
        </w:rPr>
        <w:t xml:space="preserve">2025~2026년 OK학당 스마트러닝 교육 위탁운영 사업</w:t>
      </w:r>
    </w:p>
    <w:p>
      <w:pPr>
        <w:spacing w:after="600"/>
        <w:jc w:val="center"/>
      </w:pPr>
      <w:r>
        <w:rPr>
          <w:b/>
          <w:bCs/>
          <w:sz w:val="56"/>
          <w:szCs w:val="56"/>
        </w:rPr>
        <w:t xml:space="preserve">제 안 서</w:t>
      </w:r>
    </w:p>
    <w:p>
      <w:pPr>
        <w:spacing w:after="1200"/>
        <w:jc w:val="center"/>
      </w:pPr>
      <w:r>
        <w:rPr>
          <w:i/>
          <w:iCs/>
          <w:color w:val="999999"/>
          <w:sz w:val="20"/>
          <w:szCs w:val="20"/>
        </w:rPr>
        <w:t xml:space="preserve">(테스트용 샘플 문서 — 실제 업체 아님)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제출업체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주식회사 OK에듀테크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대표자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김테스트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설립연도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2014년 (사업 경력 11년)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제출일자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2026년 7월 15일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연락처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02-1234-5678 / contact@okedutech-test.example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Ⅰ. 일반부문</w:t>
      </w:r>
    </w:p>
    <w:p>
      <w:pPr>
        <w:pStyle w:val="Heading2"/>
      </w:pPr>
      <w:r>
        <w:t xml:space="preserve">1. 경영현황 및 재무안정성</w:t>
      </w:r>
    </w:p>
    <w:p>
      <w:pPr>
        <w:spacing w:after="160"/>
      </w:pPr>
      <w:r>
        <w:rPr>
          <w:sz w:val="22"/>
          <w:szCs w:val="22"/>
        </w:rPr>
        <w:t xml:space="preserve">당사는 2014년 설립 이후 11년간 위탁교육 및 이러닝 플랫폼 운영 사업을 영위해 온 중견 에듀테크 기업입니다. 최근 3개년 매출은 2023년 128억원, 2024년 145억원, 2025년(추정) 168억원으로 매년 평균 14.5%의 안정적 성장을 이어가고 있으며, 부채비율은 2025년 기준 62%로 업계 평균(약 95%) 대비 건전한 재무구조를 유지하고 있습니다.</w:t>
      </w:r>
    </w:p>
    <w:p>
      <w:pPr>
        <w:spacing w:after="160"/>
      </w:pPr>
      <w:r>
        <w:rPr>
          <w:sz w:val="22"/>
          <w:szCs w:val="22"/>
        </w:rPr>
        <w:t xml:space="preserve">자기자본비율은 58%이며, 최근 3년간 영업이익률은 각각 8.2%, 9.1%, 9.6%로 지속적인 개선 추세를 보이고 있습니다. 신용평가등급은 BBB+ (한국기업데이터, 2025년 평가)를 보유하고 있어 장기 위탁계약 이행에 필요한 재무 안정성을 확보하고 있습니다.</w:t>
      </w:r>
    </w:p>
    <w:p>
      <w:pPr>
        <w:pStyle w:val="Heading2"/>
      </w:pPr>
      <w:r>
        <w:t xml:space="preserve">2. 사업수행실적 (순수 위탁교육 실적)</w:t>
      </w:r>
    </w:p>
    <w:p>
      <w:pPr>
        <w:spacing w:after="160"/>
      </w:pPr>
      <w:r>
        <w:rPr>
          <w:sz w:val="22"/>
          <w:szCs w:val="22"/>
        </w:rPr>
        <w:t xml:space="preserve">당사는 최근 5년간 총 14건의 대기업·공공기관 위탁교육 운영 실적을 보유하고 있으며, 이 중 순수 위탁교육(콘텐츠 제공 + 플랫폼 운영 + 학습관리 통합형) 실적은 9건입니다. 대표 실적은 다음과 같습니다.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2022~2024년 A금융지주 임직원 온라인교육 위탁운영 (연간 수강인원 약 2,200명)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2021~2023년 B공사 신입/재직자 직무교육 위탁운영 (연간 수강인원 약 1,500명)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2023~현재 C그룹 해외법인(베트남·인도네시아) 대상 다국어 교육 플랫폼 운영 (연간 수강인원 약 900명)</w:t>
      </w:r>
    </w:p>
    <w:p>
      <w:pPr>
        <w:spacing w:after="160"/>
      </w:pPr>
      <w:r>
        <w:rPr>
          <w:sz w:val="22"/>
          <w:szCs w:val="22"/>
        </w:rPr>
        <w:t xml:space="preserve">위 실적을 통해 금융·공공 분야 위탁교육 운영에 필요한 콘텐츠 수급, 다국어 지원, 학습관리 프로세스 전반에 대한 노하우를 축적하였습니다.</w:t>
      </w:r>
    </w:p>
    <w:p>
      <w:pPr>
        <w:pStyle w:val="Heading2"/>
      </w:pPr>
      <w:r>
        <w:t xml:space="preserve">3. 전담인력 배치계획 (PM/R&amp;R)</w:t>
      </w:r>
    </w:p>
    <w:p>
      <w:pPr>
        <w:spacing w:after="160"/>
      </w:pPr>
      <w:r>
        <w:rPr>
          <w:sz w:val="22"/>
          <w:szCs w:val="22"/>
        </w:rPr>
        <w:t xml:space="preserve">본 사업 전담 조직은 PM 1명, 콘텐츠 운영 2명, 시스템 운영 2명, 학습지원(CS) 3명 등 총 8명으로 구성하여 전담 배치합니다. PM은 위탁교육 운영 경력 9년의 책임급 인력이 배정되며, 학습지원팀은 콜센터 상시 운영 경력을 보유한 인원으로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PM (1명)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위탁교육 운영 경력 9년, 금융권 프로젝트 3건 수행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콘텐츠 운영 (2명)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콘텐츠 기획·수급·품질관리 담당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시스템 운영 (2명)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플랫폼 인프라 및 보안 담당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학습지원/CS (3명)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콜센터·VOC 대응 전담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Ⅱ. 콘텐츠부문</w:t>
      </w:r>
    </w:p>
    <w:p>
      <w:pPr>
        <w:pStyle w:val="Heading2"/>
      </w:pPr>
      <w:r>
        <w:t xml:space="preserve">4. 보유 콘텐츠 양·다양성</w:t>
      </w:r>
    </w:p>
    <w:p>
      <w:pPr>
        <w:spacing w:after="160"/>
      </w:pPr>
      <w:r>
        <w:rPr>
          <w:sz w:val="22"/>
          <w:szCs w:val="22"/>
        </w:rPr>
        <w:t xml:space="preserve">당사는 자체 및 제휴 콘텐츠를 포함해 총 3,400여 개 강좌를 보유하고 있으며, 직무역량(1,450개), 리더십(520개), 어학(680개), 법정필수교육(180개), 교양·인문(570개) 등 5대 카테고리로 균형 있게 구성되어 있습니다. 매년 약 300개 신규 강좌를 추가 개발 또는 수급하고 있습니다.</w:t>
      </w:r>
    </w:p>
    <w:p>
      <w:pPr>
        <w:pStyle w:val="Heading2"/>
      </w:pPr>
      <w:r>
        <w:t xml:space="preserve">5. 콘텐츠 최신성 및 업데이트 주기</w:t>
      </w:r>
    </w:p>
    <w:p>
      <w:pPr>
        <w:spacing w:after="160"/>
      </w:pPr>
      <w:r>
        <w:rPr>
          <w:sz w:val="22"/>
          <w:szCs w:val="22"/>
        </w:rPr>
        <w:t xml:space="preserve">전체 콘텐츠의 62%가 최근 2년 이내 제작된 콘텐츠이며, 법정필수교육(성희롱예방, 개인정보보호, 산업안전 등)은 법령 개정 시점 기준 평균 3주 이내에 개정 콘텐츠로 교체하는 프로세스를 운영하고 있습니다. 분기별 콘텐츠 만족도 조사를 통해 하위 10% 콘텐츠는 개편 또는 폐지합니다.</w:t>
      </w:r>
    </w:p>
    <w:p>
      <w:pPr>
        <w:pStyle w:val="Heading2"/>
      </w:pPr>
      <w:r>
        <w:t xml:space="preserve">6. 생성형 AI·데이터 리터러시 등 신기술 콘텐츠</w:t>
      </w:r>
    </w:p>
    <w:p>
      <w:pPr>
        <w:spacing w:after="160"/>
      </w:pPr>
      <w:r>
        <w:rPr>
          <w:sz w:val="22"/>
          <w:szCs w:val="22"/>
        </w:rPr>
        <w:t xml:space="preserve">2024년부터 생성형 AI 활용 강좌 24개(프롬프트 엔지니어링, 업무자동화, 사내 데이터 분석 활용 등)를 자체 개발하여 서비스 중이며, 2026년까지 데이터 리터러시 전문 트랙(입문~심화 12개 강좌)을 추가 개발할 계획입니다. 또한 AI 기반 학습 추천 엔진을 자체 구축하여 학습자별 맞춤 커리큘럼을 제공하고 있습니다.</w:t>
      </w:r>
    </w:p>
    <w:p>
      <w:pPr>
        <w:pStyle w:val="Heading2"/>
      </w:pPr>
      <w:r>
        <w:t xml:space="preserve">7. 자체 제작 콘텐츠 무상 탑재 및 운영 지원</w:t>
      </w:r>
    </w:p>
    <w:p>
      <w:pPr>
        <w:spacing w:after="160"/>
      </w:pPr>
      <w:r>
        <w:rPr>
          <w:sz w:val="22"/>
          <w:szCs w:val="22"/>
        </w:rPr>
        <w:t xml:space="preserve">계약기간 중 당사가 자체 제작한 신규 콘텐츠(연 30개 내외)는 별도 비용 없이 플랫폼에 무상 탑재하며, 발주기관 요청 시 사내 특화 콘텐츠(사내 정책, 조직문화 교육 등) 제작을 연 2건까지 무상으로 지원합니다.</w:t>
      </w:r>
    </w:p>
    <w:p>
      <w:r>
        <w:br w:type="page"/>
      </w:r>
    </w:p>
    <w:p>
      <w:pPr>
        <w:pStyle w:val="Heading1"/>
      </w:pPr>
      <w:r>
        <w:t xml:space="preserve">Ⅲ. 운영부문</w:t>
      </w:r>
    </w:p>
    <w:p>
      <w:pPr>
        <w:pStyle w:val="Heading2"/>
      </w:pPr>
      <w:r>
        <w:t xml:space="preserve">8. 운영전략 및 추진계획의 타당성</w:t>
      </w:r>
    </w:p>
    <w:p>
      <w:pPr>
        <w:spacing w:after="160"/>
      </w:pPr>
      <w:r>
        <w:rPr>
          <w:sz w:val="22"/>
          <w:szCs w:val="22"/>
        </w:rPr>
        <w:t xml:space="preserve">사업 착수 후 1개월간 시스템 이관 및 콘텐츠 세팅을 완료하고, 2개월차부터 정상 서비스를 개시하는 단계별 추진계획을 수립하였습니다. 착수-안정화-고도화의 3단계 운영 로드맵을 통해 리스크를 최소화하고 학습자 이탈을 방지합니다.</w:t>
      </w:r>
    </w:p>
    <w:p>
      <w:pPr>
        <w:pStyle w:val="Heading2"/>
      </w:pPr>
      <w:r>
        <w:t xml:space="preserve">9. 학습독려 및 참여활성화 방안</w:t>
      </w:r>
    </w:p>
    <w:p>
      <w:pPr>
        <w:spacing w:after="160"/>
      </w:pPr>
      <w:r>
        <w:rPr>
          <w:sz w:val="22"/>
          <w:szCs w:val="22"/>
        </w:rPr>
        <w:t xml:space="preserve">월별 학습률 미달 대상자에게 자동 알림(이메일·문자)을 발송하며, 분기별 우수 학습자 포상 프로그램을 운영합니다. 게이미피케이션 요소(뱃지, 랭킹, 포인트)를 도입해 완주율을 기존 대비 15%p 향상시킨 실적을 보유하고 있습니다.</w:t>
      </w:r>
    </w:p>
    <w:p>
      <w:pPr>
        <w:pStyle w:val="Heading2"/>
      </w:pPr>
      <w:r>
        <w:t xml:space="preserve">10. 학습자 관리 체계 (콜센터, VOC 대응)</w:t>
      </w:r>
    </w:p>
    <w:p>
      <w:pPr>
        <w:spacing w:after="160"/>
      </w:pPr>
      <w:r>
        <w:rPr>
          <w:sz w:val="22"/>
          <w:szCs w:val="22"/>
        </w:rPr>
        <w:t xml:space="preserve">콜센터는 평일 09:00~18:00 상시 운영하며, 전화·카카오톡·이메일 3개 채널을 통한 VOC 접수 체계를 갖추고 있습니다. VOC 평균 응답시간은 접수 후 4시간 이내, 처리완료는 영업일 기준 2일 이내를 목표로 관리하며 월별 처리 현황을 발주기관에 보고합니다.</w:t>
      </w:r>
    </w:p>
    <w:p>
      <w:pPr>
        <w:pStyle w:val="Heading2"/>
      </w:pPr>
      <w:r>
        <w:t xml:space="preserve">11. 교육결과 보고 및 사후관리 체계</w:t>
      </w:r>
    </w:p>
    <w:p>
      <w:pPr>
        <w:spacing w:after="160"/>
      </w:pPr>
      <w:r>
        <w:rPr>
          <w:sz w:val="22"/>
          <w:szCs w:val="22"/>
        </w:rPr>
        <w:t xml:space="preserve">월간 학습현황 리포트(수강률, 이수율, 만족도)와 분기별 종합 결과보고서를 제공하며, 연간 교육효과성 분석 보고서를 통해 차년도 운영 개선안을 제안합니다. 모든 리포트는 대시보드 형태로 실시간 열람이 가능합니다.</w:t>
      </w:r>
    </w:p>
    <w:p>
      <w:pPr>
        <w:pStyle w:val="Heading2"/>
      </w:pPr>
      <w:r>
        <w:t xml:space="preserve">12. 부가서비스 (부정수강 모니터링, 맞춤 추천 등)</w:t>
      </w:r>
    </w:p>
    <w:p>
      <w:pPr>
        <w:spacing w:after="160"/>
      </w:pPr>
      <w:r>
        <w:rPr>
          <w:sz w:val="22"/>
          <w:szCs w:val="22"/>
        </w:rPr>
        <w:t xml:space="preserve">자동 부정수강 탐지 시스템을 통해 비정상 학습 패턴(단시간 완강, 배속 이상 재생 등)을 실시간 탐지하여 관리자에게 알림을 제공합니다. 또한 개인별 학습이력 기반 맞춤 콘텐츠 추천, 부서별 필요역량 진단 서비스를 부가로 제공합니다.</w:t>
      </w:r>
    </w:p>
    <w:p>
      <w:r>
        <w:br w:type="page"/>
      </w:r>
    </w:p>
    <w:p>
      <w:pPr>
        <w:pStyle w:val="Heading1"/>
      </w:pPr>
      <w:r>
        <w:t xml:space="preserve">Ⅳ. 시스템부문</w:t>
      </w:r>
    </w:p>
    <w:p>
      <w:pPr>
        <w:pStyle w:val="Heading2"/>
      </w:pPr>
      <w:r>
        <w:t xml:space="preserve">13. 웹/모바일 학습 플랫폼 사용 편의성</w:t>
      </w:r>
    </w:p>
    <w:p>
      <w:pPr>
        <w:spacing w:after="160"/>
      </w:pPr>
      <w:r>
        <w:rPr>
          <w:sz w:val="22"/>
          <w:szCs w:val="22"/>
        </w:rPr>
        <w:t xml:space="preserve">반응형 웹과 iOS/Android 전용 앱을 함께 제공하며, 3단계 이내 클릭으로 원하는 강좌에 접근 가능한 UI/UX를 적용하였습니다. 최근 사용자 만족도 조사에서 편의성 항목 4.4/5.0점을 기록하였습니다.</w:t>
      </w:r>
    </w:p>
    <w:p>
      <w:pPr>
        <w:pStyle w:val="Heading2"/>
      </w:pPr>
      <w:r>
        <w:t xml:space="preserve">14. 해외법인 접속 지원 등 안정성</w:t>
      </w:r>
    </w:p>
    <w:p>
      <w:pPr>
        <w:spacing w:after="160"/>
      </w:pPr>
      <w:r>
        <w:rPr>
          <w:sz w:val="22"/>
          <w:szCs w:val="22"/>
        </w:rPr>
        <w:t xml:space="preserve">인도네시아, 캄보디아 등 동남아 지역에 CDN 엣지 서버를 구축하여 해외 접속 시에도 국내와 동등한 수준의 로딩속도(평균 1.8초 이내)를 지원합니다. 최근 1년간 서비스 가용률은 99.95%를 기록하였습니다.</w:t>
      </w:r>
    </w:p>
    <w:p>
      <w:pPr>
        <w:pStyle w:val="Heading2"/>
      </w:pPr>
      <w:r>
        <w:t xml:space="preserve">15. 정보보안 대책 (개인정보보호, DB보안)</w:t>
      </w:r>
    </w:p>
    <w:p>
      <w:pPr>
        <w:spacing w:after="160"/>
      </w:pPr>
      <w:r>
        <w:rPr>
          <w:sz w:val="22"/>
          <w:szCs w:val="22"/>
        </w:rPr>
        <w:t xml:space="preserve">ISMS-P 인증을 보유하고 있으며, 개인정보는 암호화 저장 및 접근권한 최소화 원칙을 적용합니다. DB는 이중화 구성 및 정기 취약점 점검(분기 1회)을 실시하며, 개인정보 처리 전 과정에 대한 접근 로그를 6개월간 보관·감사합니다.</w:t>
      </w:r>
    </w:p>
    <w:p>
      <w:pPr>
        <w:pStyle w:val="Heading2"/>
      </w:pPr>
      <w:r>
        <w:t xml:space="preserve">16. 장애대응 및 유지보수 체계</w:t>
      </w:r>
    </w:p>
    <w:p>
      <w:pPr>
        <w:spacing w:after="160"/>
      </w:pPr>
      <w:r>
        <w:rPr>
          <w:sz w:val="22"/>
          <w:szCs w:val="22"/>
        </w:rPr>
        <w:t xml:space="preserve">24시간 시스템 모니터링 체계를 구축하고 있으며, 장애 발생 시 1차 대응 30분 이내, 복구 목표시간(RTO) 4시간 이내를 SLA로 보장합니다. 최근 1년간 중대 장애(서비스 전면 중단) 발생 건수는 0건입니다.</w:t>
      </w:r>
    </w:p>
    <w:p>
      <w:pPr>
        <w:spacing w:before="600"/>
      </w:pPr>
      <w:r>
        <w:rPr>
          <w:i/>
          <w:iCs/>
          <w:color w:val="999999"/>
          <w:sz w:val="18"/>
          <w:szCs w:val="18"/>
        </w:rPr>
        <w:t xml:space="preserve">※ 본 문서는 AI 평가 에이전트 파이프라인 테스트를 위해 생성된 가상의 샘플 제안서이며, 실존하지 않는 업체·수치를 포함합니다.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algun Gothic" w:cs="Malgun Gothic" w:eastAsia="Malgun Gothic" w:hAnsi="Malgun Gothic"/>
      <w:b/>
      <w:bCs/>
      <w:color w:val="6D4C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2026-07-06T07:41:19.460Z</dcterms:created>
  <dcterms:modified xsi:type="dcterms:W3CDTF">2026-07-06T07:41:19.461Z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