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700"/>
        <w:jc w:val="center"/>
      </w:pPr>
      <w:r>
        <w:drawing>
          <wp:inline distT="0" distB="0" distL="0" distR="0">
            <wp:extent cx="1219200" cy="219075"/>
            <wp:effectExtent t="0" r="0" b="0" l="0"/>
            <wp:docPr id="1" name="logo" descr="OK금융그룹 로고" title="OK금융그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3F363F"/>
          <w:sz w:val="52"/>
          <w:szCs w:val="52"/>
        </w:rPr>
        <w:t xml:space="preserve">세부 평가기준 안내</w:t>
      </w:r>
    </w:p>
    <w:p>
      <w:pPr>
        <w:spacing w:after="500"/>
        <w:jc w:val="center"/>
      </w:pPr>
      <w:r>
        <w:rPr>
          <w:b/>
          <w:bCs/>
          <w:color w:val="1F3864"/>
          <w:sz w:val="24"/>
          <w:szCs w:val="24"/>
        </w:rPr>
        <w:t xml:space="preserve">2025~2026년 OK학당 스마트러닝 교육 위탁운영 용역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사업명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2025~2026년 OK학당 스마트러닝 교육 위탁운영 용역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계약기간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2025.9.1 ~ 2026.8.31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교육대상인원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연간 약 1,800명 (예상수강인원, 계약 후 추가인원 협의)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위탁범위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콘텐츠 제공 · 온라인 러닝플랫폼 제공 · 운영/수강관리 · 교육결과 제공 · 부가서비스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선정방식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공개경쟁입찰 (제안서 기술평가 80% + 입찰가격 평가 20%)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입찰공고 게시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2026.07.07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입찰공고 마감(제안서 제출기한)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2026.07.16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bCs/>
          <w:color w:val="1F3864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안내 개요 및 목적</w:t>
      </w:r>
    </w:p>
    <w:p>
      <w:pPr>
        <w:spacing w:after="160"/>
      </w:pPr>
      <w:r>
        <w:rPr>
          <w:sz w:val="21"/>
          <w:szCs w:val="21"/>
        </w:rPr>
        <w:t xml:space="preserve">OK금융그룹은 「2025~2026년 OK학당 스마트러닝 교육 위탁운영 용역」계약을 위해 공개경쟁입찰을 실시합니다. 본 문서는 참여 업체가 제안서 작성에 필요한 제출서류와 세부 평가기준을 명확히 이해할 수 있도록 안내하기 위해 작성되었습니다.</w:t>
      </w:r>
    </w:p>
    <w:p>
      <w:pPr>
        <w:pStyle w:val="Heading2"/>
      </w:pPr>
      <w:r>
        <w:t xml:space="preserve">1-1. 제출서류 목록 (필수)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800"/>
        <w:gridCol w:w="1560"/>
      </w:tblGrid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서류명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주요 포함 내용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형식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사업 제안서
(스마트러닝 위탁운영 용역 제안서)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사업수행계획, 콘텐츠 제공계획, 운영계획, 시스템 운영계획 등 세부 평가기준 각 항목에 대한 제안 내용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PDF/DOCX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사업자등록증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사업자등록번호, 대표자, 업태/종목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PDF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법인등기부등본
(말소포함, 최근 3개월 이내)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발급일 기준 최근 3개월 이내, 말소사항 포함하여 발급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PDF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재무제표 또는
부가가치과세증명원 (최근 2년)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최근 2개년 재무상태표·손익계산서 또는 부가가치세과세표준증명원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PDF/DOCX/XLSX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사업수행실적증명서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발주기관명, 계약기간, 사업규모(수강인원 등)를 명시한 위탁교육 운영실적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PDF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가격입찰서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입찰금액(부가세 포함) 및 산출근거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8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PDF/XLSX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참여인력 구성도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PM 및 담당자별 역할(R&amp;R), 경력사항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PDF</w:t>
            </w:r>
          </w:p>
        </w:tc>
      </w:tr>
    </w:tbl>
    <w:p>
      <w:pPr>
        <w:spacing w:after="200"/>
      </w:pPr>
      <w:r>
        <w:rPr>
          <w:i/>
          <w:iCs/>
          <w:color w:val="595959"/>
          <w:sz w:val="19"/>
          <w:szCs w:val="19"/>
        </w:rPr>
        <w:t xml:space="preserve">※ 위 7종은 모두 필수 제출 서류이며, 미제출 시 평가에서 제외될 수 있습니다.</w:t>
      </w:r>
    </w:p>
    <w:p>
      <w:pPr>
        <w:pStyle w:val="Heading1"/>
      </w:pPr>
      <w:r>
        <w:t xml:space="preserve">2. 필수 자격 관련 제출 요건 (Pass / Fail)</w:t>
      </w:r>
    </w:p>
    <w:p>
      <w:pPr>
        <w:spacing w:after="160"/>
      </w:pPr>
      <w:r>
        <w:rPr>
          <w:sz w:val="21"/>
          <w:szCs w:val="21"/>
        </w:rPr>
        <w:t xml:space="preserve">아래 조건을 충족하지 못하는 업체는 전체 평가에서 즉시 제외됩니다.</w:t>
      </w:r>
    </w:p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2-1. </w:t>
      </w:r>
      <w:r>
        <w:rPr>
          <w:b/>
          <w:bCs/>
          <w:color w:val="3F363F"/>
          <w:sz w:val="22"/>
          <w:szCs w:val="22"/>
        </w:rPr>
        <w:t xml:space="preserve">계약결격사유 없음 (국가계약법 등)</w:t>
      </w:r>
      <w:r>
        <w:rPr>
          <w:b/>
          <w:bCs/>
          <w:color w:val="595959"/>
          <w:sz w:val="20"/>
          <w:szCs w:val="20"/>
        </w:rPr>
        <w:t xml:space="preserve">  (Pass/Fail)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Pass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국가를 당사자로 하는 계약에 관한 법률 등에 따른 계약결격사유가 없음이 확인됨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Fail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계약결격사유가 하나라도 확인될 경우 즉시 평가 대상에서 제외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사업자등록증, 법인등기부등본</w:t>
            </w:r>
          </w:p>
        </w:tc>
      </w:tr>
    </w:tbl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2-2. </w:t>
      </w:r>
      <w:r>
        <w:rPr>
          <w:b/>
          <w:bCs/>
          <w:color w:val="3F363F"/>
          <w:sz w:val="22"/>
          <w:szCs w:val="22"/>
        </w:rPr>
        <w:t xml:space="preserve">원격평생교육시설 신고 업체 여부</w:t>
      </w:r>
      <w:r>
        <w:rPr>
          <w:b/>
          <w:bCs/>
          <w:color w:val="595959"/>
          <w:sz w:val="20"/>
          <w:szCs w:val="20"/>
        </w:rPr>
        <w:t xml:space="preserve">  (Pass/Fail)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Pass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관계 법령에 따른 원격평생교육시설 신고를 완료한 업체임이 확인됨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Fail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신고 사실이 확인되지 않을 경우 즉시 평가 대상에서 제외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관련 신고증빙 (관리자 별도 확인)</w:t>
            </w:r>
          </w:p>
        </w:tc>
      </w:tr>
    </w:tbl>
    <w:p>
      <w:pPr>
        <w:pStyle w:val="Heading1"/>
      </w:pPr>
      <w:r>
        <w:t xml:space="preserve">3. 일반부문</w:t>
      </w:r>
    </w:p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3-1. </w:t>
      </w:r>
      <w:r>
        <w:rPr>
          <w:b/>
          <w:bCs/>
          <w:color w:val="3F363F"/>
          <w:sz w:val="22"/>
          <w:szCs w:val="22"/>
        </w:rPr>
        <w:t xml:space="preserve">경영현황 및 재무안정성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최근 2개년 재무제표(또는 부가가치과세증명원)상 부채비율·유동비율 등 재무지표가 안정적이며 매출·이익이 흑자 기조를 유지함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재무지표가 업계 평균 수준이며 특이 위험신호는 확인되지 않음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완전자본잠식, 연속 영업손실 등 재무 위험신호가 확인되거나 재무 관련 서류가 제출되지 않음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재무제표 또는 부가가치과세증명원</w:t>
            </w:r>
          </w:p>
        </w:tc>
      </w:tr>
    </w:tbl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3-2. </w:t>
      </w:r>
      <w:r>
        <w:rPr>
          <w:b/>
          <w:bCs/>
          <w:color w:val="3F363F"/>
          <w:sz w:val="22"/>
          <w:szCs w:val="22"/>
        </w:rPr>
        <w:t xml:space="preserve">사업수행실적 (순수 위탁교육 실적)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최근 5년 내 순수 위탁교육(콘텐츠 제공+플랫폼 운영+학습관리 통합형) 실적이 3건 이상이며 발주기관명·규모가 구체적으로 확인됨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위탁교육 실적은 있으나 통합형이 아니거나 확인 가능한 실적이 1~2건에 그침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관련 실적이 확인되지 않거나 증빙이 불충분함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사업수행실적증명서</w:t>
            </w:r>
          </w:p>
        </w:tc>
      </w:tr>
    </w:tbl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3-3. </w:t>
      </w:r>
      <w:r>
        <w:rPr>
          <w:b/>
          <w:bCs/>
          <w:color w:val="3F363F"/>
          <w:sz w:val="22"/>
          <w:szCs w:val="22"/>
        </w:rPr>
        <w:t xml:space="preserve">전담인력 배치계획 (PM/R&amp;R)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전담 PM이 지정되어 있고 팀원별 인원수·경력·역할(R&amp;R)이 구체적으로 제시됨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인력 구성은 제시되었으나 역할 분담이 다소 불명확함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투입 인력 정보가 부족하거나 겸직/파트타임 위주로 구성되어 책임소재가 불분명함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참여인력 구성도</w:t>
            </w:r>
          </w:p>
        </w:tc>
      </w:tr>
    </w:tbl>
    <w:p>
      <w:pPr>
        <w:pStyle w:val="Heading1"/>
      </w:pPr>
      <w:r>
        <w:t xml:space="preserve">4. 콘텐츠부문</w:t>
      </w:r>
    </w:p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4-1. </w:t>
      </w:r>
      <w:r>
        <w:rPr>
          <w:b/>
          <w:bCs/>
          <w:color w:val="3F363F"/>
          <w:sz w:val="22"/>
          <w:szCs w:val="22"/>
        </w:rPr>
        <w:t xml:space="preserve">보유 콘텐츠 양·다양성 (직무/리더십/어학 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직무·리더십·어학·법정필수교육 등 다양한 카테고리에 걸쳐 콘텐츠 보유 수량이 구체적 수치로 제시됨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보유 콘텐츠는 있으나 카테고리 구성이나 수량 제시가 개략적임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보유 콘텐츠 현황이 제시되지 않거나 특정 분야에 편중됨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제안서 콘텐츠 목록</w:t>
            </w:r>
          </w:p>
        </w:tc>
      </w:tr>
    </w:tbl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4-2. </w:t>
      </w:r>
      <w:r>
        <w:rPr>
          <w:b/>
          <w:bCs/>
          <w:color w:val="3F363F"/>
          <w:sz w:val="22"/>
          <w:szCs w:val="22"/>
        </w:rPr>
        <w:t xml:space="preserve">콘텐츠 최신성 및 업데이트 주기 (법정필수교육 포함)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콘텐츠 최신성 비율(예: 최근 2년 이내 제작 비중)과 법정필수교육 개정 반영 주기가 구체적으로 제시됨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업데이트 방침은 있으나 주기나 반영 절차가 개략적으로만 언급됨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콘텐츠 최신성 관리 방안이 제시되지 않음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제안서</w:t>
            </w:r>
          </w:p>
        </w:tc>
      </w:tr>
    </w:tbl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4-3. </w:t>
      </w:r>
      <w:r>
        <w:rPr>
          <w:b/>
          <w:bCs/>
          <w:color w:val="3F363F"/>
          <w:sz w:val="22"/>
          <w:szCs w:val="22"/>
        </w:rPr>
        <w:t xml:space="preserve">생성형 AI·데이터 리터러시 등 신기술 콘텐츠 보유/개발계획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생성형 AI·데이터 리터러시 관련 콘텐츠를 이미 운영 중이며 향후 개발 로드맵이 구체적으로 제시됨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관련 콘텐츠 도입 계획은 있으나 아직 운영 실적이 없음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신기술 콘텐츠 보유·개발계획이 제시되지 않음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제안서</w:t>
            </w:r>
          </w:p>
        </w:tc>
      </w:tr>
    </w:tbl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4-4. </w:t>
      </w:r>
      <w:r>
        <w:rPr>
          <w:b/>
          <w:bCs/>
          <w:color w:val="3F363F"/>
          <w:sz w:val="22"/>
          <w:szCs w:val="22"/>
        </w:rPr>
        <w:t xml:space="preserve">자체 제작 콘텐츠 무상 탑재 및 운영 지원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계약기간 중 무상 탑재 콘텐츠 수량 및 발주기관 맞춤 콘텐츠 제작 지원 조건이 구체적으로 명시됨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무상 지원 방침은 있으나 구체적 수량·조건이 불명확함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무상 콘텐츠 지원 계획이 제시되지 않음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제안서</w:t>
            </w:r>
          </w:p>
        </w:tc>
      </w:tr>
    </w:tbl>
    <w:p>
      <w:pPr>
        <w:pStyle w:val="Heading1"/>
      </w:pPr>
      <w:r>
        <w:t xml:space="preserve">5. 운영부문</w:t>
      </w:r>
    </w:p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5-1. </w:t>
      </w:r>
      <w:r>
        <w:rPr>
          <w:b/>
          <w:bCs/>
          <w:color w:val="3F363F"/>
          <w:sz w:val="22"/>
          <w:szCs w:val="22"/>
        </w:rPr>
        <w:t xml:space="preserve">운영전략 및 추진계획의 타당성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착수부터 안정화까지 단계별 추진 일정과 리스크 대응 방안이 구체적으로 제시됨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추진계획은 제시되었으나 일반적인 수준에 머무름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추진계획이 개략적이거나 실현 가능성이 낮음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제안서</w:t>
            </w:r>
          </w:p>
        </w:tc>
      </w:tr>
    </w:tbl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5-2. </w:t>
      </w:r>
      <w:r>
        <w:rPr>
          <w:b/>
          <w:bCs/>
          <w:color w:val="3F363F"/>
          <w:sz w:val="22"/>
          <w:szCs w:val="22"/>
        </w:rPr>
        <w:t xml:space="preserve">학습독려 및 참여활성화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자동 알림, 포상, 게이미피케이션 등 구체적 방안과 함께 기대 효과(완주율 개선 등)가 수치로 제시됨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독려 방안은 있으나 구체적 실행 방식이나 기대효과 제시가 부족함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학습독려 방안이 제시되지 않음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제안서</w:t>
            </w:r>
          </w:p>
        </w:tc>
      </w:tr>
    </w:tbl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5-3. </w:t>
      </w:r>
      <w:r>
        <w:rPr>
          <w:b/>
          <w:bCs/>
          <w:color w:val="3F363F"/>
          <w:sz w:val="22"/>
          <w:szCs w:val="22"/>
        </w:rPr>
        <w:t xml:space="preserve">학습자 관리 (콜센터 09~18시, VOC 대응)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콜센터 운영시간, 채널, VOC 응답·처리 목표시간(SLA)이 구체적으로 제시됨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학습자 관리 체계는 있으나 응답시간 등 구체적 SLA 제시가 없음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학습자 관리·VOC 대응 체계가 제시되지 않음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제안서</w:t>
            </w:r>
          </w:p>
        </w:tc>
      </w:tr>
    </w:tbl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5-4. </w:t>
      </w:r>
      <w:r>
        <w:rPr>
          <w:b/>
          <w:bCs/>
          <w:color w:val="3F363F"/>
          <w:sz w:val="22"/>
          <w:szCs w:val="22"/>
        </w:rPr>
        <w:t xml:space="preserve">교육결과 보고 및 사후관리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보고 주기(월간/분기/연간)와 보고 형식(대시보드 등)이 구체적으로 제시됨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보고 체계는 있으나 주기나 형식이 불명확함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교육결과 보고 체계가 제시되지 않음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제안서</w:t>
            </w:r>
          </w:p>
        </w:tc>
      </w:tr>
    </w:tbl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5-5. </w:t>
      </w:r>
      <w:r>
        <w:rPr>
          <w:b/>
          <w:bCs/>
          <w:color w:val="3F363F"/>
          <w:sz w:val="22"/>
          <w:szCs w:val="22"/>
        </w:rPr>
        <w:t xml:space="preserve">부가서비스 (부정수강 모니터링, 맞춤 추천 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부정수강 탐지, 맞춤 콘텐츠 추천 등 복수의 부가서비스가 구체적으로 제시됨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부가서비스가 일부 제시되나 범위가 제한적임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부가서비스 계획이 제시되지 않음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제안서</w:t>
            </w:r>
          </w:p>
        </w:tc>
      </w:tr>
    </w:tbl>
    <w:p>
      <w:pPr>
        <w:pStyle w:val="Heading1"/>
      </w:pPr>
      <w:r>
        <w:t xml:space="preserve">6. 시스템부문</w:t>
      </w:r>
    </w:p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6-1. </w:t>
      </w:r>
      <w:r>
        <w:rPr>
          <w:b/>
          <w:bCs/>
          <w:color w:val="3F363F"/>
          <w:sz w:val="22"/>
          <w:szCs w:val="22"/>
        </w:rPr>
        <w:t xml:space="preserve">웹/모바일 학습 플랫폼 사용 편의성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반응형 웹과 모바일 앱을 함께 제공하며 사용성 지표(사용자 만족도 등)가 근거로 제시됨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플랫폼은 제공되나 사용성에 대한 구체적 근거가 부족함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플랫폼 사용 편의성에 대한 설명이 미흡함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제안서, 화면 예시</w:t>
            </w:r>
          </w:p>
        </w:tc>
      </w:tr>
    </w:tbl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6-2. </w:t>
      </w:r>
      <w:r>
        <w:rPr>
          <w:b/>
          <w:bCs/>
          <w:color w:val="3F363F"/>
          <w:sz w:val="22"/>
          <w:szCs w:val="22"/>
        </w:rPr>
        <w:t xml:space="preserve">해외법인 (인도네시아·캄보디아 등) 접속 지원 등 안정성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해당 국가명을 특정해 접속 안정성 대책(CDN 등)과 가용률·응답속도 수치가 제시됨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해외 접속 지원 계획은 있으나 구체적 대책이나 수치 근거가 부족함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해외법인 접속 지원 방안이 제시되지 않음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제안서</w:t>
            </w:r>
          </w:p>
        </w:tc>
      </w:tr>
    </w:tbl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6-3. </w:t>
      </w:r>
      <w:r>
        <w:rPr>
          <w:b/>
          <w:bCs/>
          <w:color w:val="3F363F"/>
          <w:sz w:val="22"/>
          <w:szCs w:val="22"/>
        </w:rPr>
        <w:t xml:space="preserve">정보보안 대책 (개인정보보호, DB보안)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ISMS-P 등 정보보안 인증을 보유하고 있으며 DB 이중화, 접근 로그 관리 등 구체적 대책이 제시됨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기본적인 보안 대책은 있으나 인증이나 세부 대책이 구체적이지 않음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정보보안 대책이 제시되지 않음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정보보안 대책서 (또는 제안서 내 보안 관련 항목)</w:t>
            </w:r>
          </w:p>
        </w:tc>
      </w:tr>
    </w:tbl>
    <w:p>
      <w:pPr>
        <w:keepNext/>
        <w:spacing w:after="100" w:before="260"/>
      </w:pPr>
      <w:r>
        <w:rPr>
          <w:b/>
          <w:bCs/>
          <w:color w:val="1F3864"/>
          <w:sz w:val="22"/>
          <w:szCs w:val="22"/>
        </w:rPr>
        <w:t xml:space="preserve">6-4. </w:t>
      </w:r>
      <w:r>
        <w:rPr>
          <w:b/>
          <w:bCs/>
          <w:color w:val="3F363F"/>
          <w:sz w:val="22"/>
          <w:szCs w:val="22"/>
        </w:rPr>
        <w:t xml:space="preserve">장애대응 및 유지보수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우수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24시간 모니터링 체계와 장애 대응·복구 목표시간(SLA)이 구체적 수치로 제시됨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보통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장애대응 체계는 있으나 목표시간 등 구체적 SLA 제시가 없음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3F363F"/>
                <w:sz w:val="19"/>
                <w:szCs w:val="19"/>
              </w:rPr>
              <w:t xml:space="preserve">미흡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장애대응 및 유지보수 체계가 제시되지 않음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F3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확인서류</w:t>
            </w:r>
          </w:p>
        </w:tc>
        <w:tc>
          <w:tcPr>
            <w:tcW w:type="dxa" w:w="7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3F363F"/>
                <w:sz w:val="19"/>
                <w:szCs w:val="19"/>
              </w:rPr>
              <w:t xml:space="preserve">제안서</w:t>
            </w:r>
          </w:p>
        </w:tc>
      </w:tr>
    </w:tbl>
    <w:p>
      <w:pPr>
        <w:pStyle w:val="Heading1"/>
      </w:pPr>
      <w:r>
        <w:t xml:space="preserve">7. 가격평가</w:t>
      </w:r>
    </w:p>
    <w:p>
      <w:pPr>
        <w:pStyle w:val="Heading2"/>
      </w:pPr>
      <w:r>
        <w:t xml:space="preserve">7-1. 입찰가격 환산 점수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입찰가격은 아래 산식에 따라 자동 환산되며, 별도의 정성평가 없이 산식에 따라 객관적으로 산정됩니다.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산식</w:t>
            </w:r>
          </w:p>
        </w:tc>
        <w:tc>
          <w:tcPr>
            <w:tcW w:type="dxa" w:w="7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가격점수 = 20 × (최저입찰가 ÷ 해당업체 입찰가), 소수 둘째자리 반올림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상한</w:t>
            </w:r>
          </w:p>
        </w:tc>
        <w:tc>
          <w:tcPr>
            <w:tcW w:type="dxa" w:w="7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20점 (최저가 입찰업체가 만점)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확인서류</w:t>
            </w:r>
          </w:p>
        </w:tc>
        <w:tc>
          <w:tcPr>
            <w:tcW w:type="dxa" w:w="7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가격입찰서</w:t>
            </w:r>
          </w:p>
        </w:tc>
      </w:tr>
    </w:tbl>
    <w:p>
      <w:pPr>
        <w:pStyle w:val="Heading1"/>
      </w:pPr>
      <w:r>
        <w:t xml:space="preserve">8. 종합평가 및 협상적격자 선정 기준</w:t>
      </w:r>
    </w:p>
    <w:p>
      <w:pPr>
        <w:spacing w:after="160"/>
      </w:pPr>
      <w:r>
        <w:rPr>
          <w:sz w:val="21"/>
          <w:szCs w:val="21"/>
        </w:rPr>
        <w:t xml:space="preserve">기술평가(80점) + 가격평가(20점) = 총점 100점을 기준으로 다음과 같이 협상적격자를 선정합니다.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협상적격 기준</w:t>
            </w:r>
          </w:p>
        </w:tc>
        <w:tc>
          <w:tcPr>
            <w:tcW w:type="dxa" w:w="7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필수자격 Pass이고, 총점 85점 이상인 업체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협상순서</w:t>
            </w:r>
          </w:p>
        </w:tc>
        <w:tc>
          <w:tcPr>
            <w:tcW w:type="dxa" w:w="7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협상적격자 중 고득점순으로 협상 순서를 부여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동점 처리</w:t>
            </w:r>
          </w:p>
        </w:tc>
        <w:tc>
          <w:tcPr>
            <w:tcW w:type="dxa" w:w="7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총점이 동일할 경우 운영부문 점수가 높은 업체를 우선하며, 그래도 동점이면 콘텐츠부문 점수로 재비교</w:t>
            </w:r>
          </w:p>
        </w:tc>
      </w:tr>
    </w:tbl>
    <w:p>
      <w:pPr>
        <w:pStyle w:val="Heading1"/>
      </w:pPr>
      <w:r>
        <w:t xml:space="preserve">9. 제출 일정 및 유의사항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입찰공고 게시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2026.07.07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입찰공고 마감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~2026.07.16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제안서·견적서 비교, 업체평가 및 선정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~2026.07.31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F363F"/>
                <w:sz w:val="20"/>
                <w:szCs w:val="20"/>
              </w:rPr>
              <w:t xml:space="preserve">계약서 날인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F363F"/>
                <w:sz w:val="20"/>
                <w:szCs w:val="20"/>
              </w:rPr>
              <w:t xml:space="preserve">~2026.08.29</w:t>
            </w:r>
          </w:p>
        </w:tc>
      </w:tr>
    </w:tbl>
    <w:p>
      <w:pPr>
        <w:spacing w:after="120" w:before="300"/>
      </w:pPr>
      <w:r>
        <w:rPr>
          <w:b/>
          <w:bCs/>
          <w:color w:val="3F363F"/>
          <w:sz w:val="22"/>
          <w:szCs w:val="22"/>
        </w:rPr>
        <w:t xml:space="preserve">유의사항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F363F"/>
          <w:sz w:val="21"/>
          <w:szCs w:val="21"/>
        </w:rPr>
        <w:t xml:space="preserve">본 안내에 따른 제안서 제출이 계약 체결을 보장하지 않습니다.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F363F"/>
          <w:sz w:val="21"/>
          <w:szCs w:val="21"/>
        </w:rPr>
        <w:t xml:space="preserve">제안서 작성 비용은 참여 업체가 부담하며, 어떠한 경우에도 보상하지 않습니다.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F363F"/>
          <w:sz w:val="21"/>
          <w:szCs w:val="21"/>
        </w:rPr>
        <w:t xml:space="preserve">제출된 서류 및 제안 내용에 허위 기재 사실이 확인될 경우 평가에서 즉시 제외됩니다.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F363F"/>
          <w:sz w:val="21"/>
          <w:szCs w:val="21"/>
        </w:rPr>
        <w:t xml:space="preserve">제출 서류는 반환하지 않으며, 제출된 정보에 대해 비밀 유지 의무가 적용됩니다.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F363F"/>
          <w:sz w:val="21"/>
          <w:szCs w:val="21"/>
        </w:rPr>
        <w:t xml:space="preserve">세부 평가기준(배점 포함)은 이번 안내를 위해 발주기관이 신규 도출한 기준이며, 발주기관 사정에 따라 사전 공지 후 변경될 수 있습니다.</w:t>
      </w:r>
    </w:p>
    <w:p>
      <w:pPr>
        <w:pBdr>
          <w:top w:val="single" w:color="D9D9D9" w:sz="6" w:space="8"/>
        </w:pBdr>
        <w:spacing w:before="500"/>
      </w:pPr>
      <w:r>
        <w:rPr>
          <w:color w:val="595959"/>
          <w:sz w:val="19"/>
          <w:szCs w:val="19"/>
        </w:rPr>
        <w:t xml:space="preserve">OK금융그룹 인재개발팀 | OK학당 스마트러닝 위탁운영</w:t>
      </w:r>
    </w:p>
    <w:p>
      <w:r>
        <w:rPr>
          <w:color w:val="595959"/>
          <w:sz w:val="19"/>
          <w:szCs w:val="19"/>
        </w:rPr>
        <w:t xml:space="preserve">문의 및 제출: OK금융그룹 인재개발팀 박종현 사원 / jhyun.park@okfngroup.com / 02-3704-9791</w:t>
      </w:r>
    </w:p>
    <w:sectPr>
      <w:headerReference w:type="default" r:id="rId7"/>
      <w:footerReference w:type="default" r:id="rId8"/>
      <w:pgSz w:w="11906" w:h="16838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- </w:t>
    </w:r>
    <w:r>
      <w:rPr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7"/>
        <w:szCs w:val="17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210"/>
      </w:tabs>
    </w:pPr>
    <w:r>
      <w:rPr>
        <w:color w:val="595959"/>
        <w:sz w:val="16"/>
        <w:szCs w:val="16"/>
      </w:rPr>
      <w:t xml:space="preserve">OK학당 스마트러닝 위탁운영 세부 평가기준 안내</w:t>
    </w:r>
    <w:r>
      <w:rPr>
        <w:color w:val="595959"/>
        <w:sz w:val="16"/>
        <w:szCs w:val="16"/>
      </w:rPr>
      <w:t xml:space="preserve">	OK금융그룹 인재개발팀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F36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2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algun Gothic" w:cs="Malgun Gothic" w:eastAsia="Malgun Gothic" w:hAnsi="Malgun Gothic"/>
      <w:b/>
      <w:bCs/>
      <w:color w:val="3F36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8b7dce8844b431c72c95c3439772dc3b87423f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2026-07-07T06:07:07.942Z</dcterms:created>
  <dcterms:modified xsi:type="dcterms:W3CDTF">2026-07-07T06:07:07.944Z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