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4D2298"/>
          <w:sz w:val="18"/>
        </w:rPr>
        <w:t>JUNIPER / SCOPE 014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10224"/>
      </w:tblGrid>
      <w:tr>
        <w:tc>
          <w:tcPr>
            <w:tcW w:type="dxa" w:w="4752"/>
            <w:shd w:fill="EAC7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4D2298"/>
                <w:sz w:val="58"/>
              </w:rPr>
              <w:t>$24,000</w:t>
            </w:r>
          </w:p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fixed fee for the defined scope</w:t>
            </w:r>
          </w:p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4D2298"/>
                <w:sz w:val="28"/>
              </w:rPr>
              <w:t>Commercial Terms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Invoices follow the milestones below. The estimate excludes taxes, third-party subscriptions, production hosting and changes outside the agreed six screens.</w:t>
            </w:r>
          </w:p>
        </w:tc>
        <w:tc>
          <w:tcPr>
            <w:tcW w:type="dxa" w:w="10224"/>
          </w:tcPr>
          <w:p/>
          <w:p>
            <w:pPr>
              <w:pStyle w:val="Title"/>
              <w:spacing w:after="140" w:line="259" w:lineRule="auto"/>
            </w:pPr>
            <w:r>
              <w:rPr>
                <w:rFonts w:ascii="Arial" w:hAnsi="Arial"/>
                <w:b/>
                <w:color w:val="17212B"/>
                <w:sz w:val="54"/>
              </w:rPr>
              <w:t>Juniper Studio Service Proposal</w:t>
            </w:r>
          </w:p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4D2298"/>
                <w:sz w:val="24"/>
              </w:rPr>
              <w:t>Replace the fragmented booking journey with one accessible flow, delivered in three reviewable stages.</w:t>
            </w:r>
          </w:p>
          <w:p>
            <w:pPr>
              <w:spacing w:after="140" w:line="259" w:lineRule="auto"/>
              <w:ind w:right="4134"/>
            </w:pPr>
            <w:r>
              <w:rPr>
                <w:rFonts w:ascii="Arial" w:hAnsi="Arial"/>
                <w:b w:val="0"/>
                <w:color w:val="17212B"/>
                <w:sz w:val="21"/>
              </w:rPr>
              <w:t>The fictional engagement covers research synthesis, interaction design and a tested frontend prototype for a neighborhood arts venue. Production integration is a separate engagement.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408"/>
              <w:gridCol w:w="3408"/>
              <w:gridCol w:w="3408"/>
            </w:tblGrid>
            <w:tr>
              <w:trPr>
                <w:tblHeader/>
                <w:cantSplit/>
              </w:trPr>
              <w:tc>
                <w:tcPr>
                  <w:tcW w:type="dxa" w:w="3408"/>
                  <w:shd w:fill="4D2298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Stage</w:t>
                  </w:r>
                </w:p>
              </w:tc>
              <w:tc>
                <w:tcPr>
                  <w:tcW w:type="dxa" w:w="3408"/>
                  <w:shd w:fill="4D2298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Deliverable</w:t>
                  </w:r>
                </w:p>
              </w:tc>
              <w:tc>
                <w:tcPr>
                  <w:tcW w:type="dxa" w:w="3408"/>
                  <w:shd w:fill="4D2298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Fee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01 Discover</w:t>
                  </w:r>
                </w:p>
              </w:tc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Journey and success measures</w:t>
                  </w:r>
                </w:p>
              </w:tc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$6,000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02 Design</w:t>
                  </w:r>
                </w:p>
              </w:tc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Six screens and component states</w:t>
                  </w:r>
                </w:p>
              </w:tc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$10,000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03 Validate</w:t>
                  </w:r>
                </w:p>
              </w:tc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Prototype and handoff</w:t>
                  </w:r>
                </w:p>
              </w:tc>
              <w:tc>
                <w:tcPr>
                  <w:tcW w:type="dxa" w:w="340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$8,000</w:t>
                  </w:r>
                </w:p>
              </w:tc>
            </w:tr>
          </w:tbl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7488"/>
      </w:tblGrid>
      <w:tr>
        <w:tc>
          <w:tcPr>
            <w:tcW w:type="dxa" w:w="748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4D2298"/>
                <w:sz w:val="28"/>
              </w:rPr>
              <w:t>Included</w:t>
            </w:r>
          </w:p>
          <w:p>
            <w:pPr>
              <w:spacing w:after="140" w:line="259" w:lineRule="auto"/>
              <w:ind w:right="1398"/>
            </w:pPr>
            <w:r>
              <w:rPr>
                <w:rFonts w:ascii="Arial" w:hAnsi="Arial"/>
                <w:b w:val="0"/>
                <w:color w:val="17212B"/>
                <w:sz w:val="21"/>
              </w:rPr>
              <w:t>Two stakeholder workshops, six core screens, responsive specifications, accessible component states and a documented prototype handoff.</w:t>
            </w:r>
          </w:p>
        </w:tc>
        <w:tc>
          <w:tcPr>
            <w:tcW w:type="dxa" w:w="748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4D2298"/>
                <w:sz w:val="28"/>
              </w:rPr>
              <w:t>Working Together</w:t>
            </w:r>
          </w:p>
          <w:p>
            <w:pPr>
              <w:spacing w:after="140" w:line="259" w:lineRule="auto"/>
              <w:ind w:right="1398"/>
            </w:pPr>
            <w:r>
              <w:rPr>
                <w:rFonts w:ascii="Arial" w:hAnsi="Arial"/>
                <w:b w:val="0"/>
                <w:color w:val="17212B"/>
                <w:sz w:val="21"/>
              </w:rPr>
              <w:t>One named decision owner consolidates feedback within three working days. Each stage ends with a review, not an implied approval.</w:t>
            </w:r>
          </w:p>
        </w:tc>
      </w:tr>
    </w:tbl>
    <w:p>
      <w:pPr>
        <w:spacing w:after="140" w:line="259" w:lineRule="auto"/>
      </w:pPr>
      <w:r>
        <w:rPr>
          <w:rFonts w:ascii="Arial" w:hAnsi="Arial"/>
          <w:b/>
          <w:color w:val="4D2298"/>
          <w:sz w:val="18"/>
        </w:rPr>
        <w:t>Offer valid for 30 days · Start date follows written acceptance.</w:t>
      </w:r>
    </w:p>
    <w:sectPr w:rsidR="00FC693F" w:rsidRPr="0006063C" w:rsidSect="00034616">
      <w:footerReference w:type="default" r:id="rId9"/>
      <w:headerReference w:type="default" r:id="rId10"/>
      <w:pgSz w:w="16848" w:h="11952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842.4pt;height:597.6pt;z-index:-251654144;mso-position-horizontal-relative:page;mso-position-vertical-relative:page" fillcolor="#EAC7FF" stroked="f">
          <v:fill color="#EAC7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