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Georgia" w:hAnsi="Georgia"/>
          <w:b/>
          <w:color w:val="145A3A"/>
          <w:sz w:val="18"/>
        </w:rPr>
        <w:t>THE RIVER HOUSE / 23–25 JULY</w:t>
      </w:r>
    </w:p>
    <w:p>
      <w:pPr>
        <w:pStyle w:val="Title"/>
        <w:spacing w:after="140" w:line="259" w:lineRule="auto"/>
      </w:pPr>
      <w:r>
        <w:rPr>
          <w:rFonts w:ascii="Georgia" w:hAnsi="Georgia"/>
          <w:b/>
          <w:color w:val="17212B"/>
          <w:sz w:val="54"/>
        </w:rPr>
        <w:t>River House Weekend Plan</w:t>
      </w:r>
    </w:p>
    <w:p>
      <w:pPr>
        <w:spacing w:after="140" w:line="259" w:lineRule="auto"/>
      </w:pPr>
      <w:r>
        <w:rPr>
          <w:rFonts w:ascii="Georgia" w:hAnsi="Georgia"/>
          <w:b/>
          <w:color w:val="145A3A"/>
          <w:sz w:val="24"/>
        </w:rPr>
        <w:t>A shared plan with room to change it. The only fixed appointment is lunch with Nana on Saturday.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45A3A"/>
                <w:sz w:val="44"/>
              </w:rPr>
              <w:t>Friday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7212B"/>
                <w:sz w:val="22"/>
              </w:rPr>
              <w:t>Arrive before 18:00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Games after supper</w:t>
            </w:r>
          </w:p>
        </w:tc>
        <w:tc>
          <w:tcPr>
            <w:tcW w:type="dxa" w:w="5040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45A3A"/>
                <w:sz w:val="44"/>
              </w:rPr>
              <w:t>Saturday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7212B"/>
                <w:sz w:val="22"/>
              </w:rPr>
              <w:t>Lunch at 12:30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Walk or quiet time</w:t>
            </w:r>
          </w:p>
        </w:tc>
        <w:tc>
          <w:tcPr>
            <w:tcW w:type="dxa" w:w="5040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45A3A"/>
                <w:sz w:val="44"/>
              </w:rPr>
              <w:t>Sunday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7212B"/>
                <w:sz w:val="22"/>
              </w:rPr>
              <w:t>Pack by 11:00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One last river stop</w:t>
            </w:r>
          </w:p>
        </w:tc>
      </w:tr>
    </w:tbl>
    <w:p>
      <w:pPr>
        <w:spacing w:after="140" w:line="259" w:lineRule="auto"/>
        <w:ind w:right="9174"/>
      </w:pPr>
      <w:r>
        <w:rPr>
          <w:rFonts w:ascii="Georgia" w:hAnsi="Georgia"/>
          <w:b w:val="0"/>
          <w:color w:val="17212B"/>
          <w:sz w:val="21"/>
        </w:rPr>
        <w:t>A fictional family plan for two adults and two children. Keep food, travel and quiet time visible; check items as they are packed rather than assuming they are done.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145A3A"/>
                <w:sz w:val="28"/>
              </w:rPr>
              <w:t>Pack Together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Rain jackets, refillable bottles, medication, chargers and one book each. Keep medication with the adult responsible for it.</w:t>
            </w:r>
          </w:p>
        </w:tc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145A3A"/>
                <w:sz w:val="28"/>
              </w:rPr>
              <w:t>Food Plan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Bring Friday supper. Buy breakfast ingredients locally. Confirm dietary needs before Saturday lunch; the sample plan does not assume medical requirements.</w:t>
            </w:r>
          </w:p>
        </w:tc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145A3A"/>
                <w:sz w:val="28"/>
              </w:rPr>
              <w:t>If Plans Change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Use the shared notice space for the new meeting time. Agree on one pickup point before anyone leaves the house.</w:t>
            </w:r>
          </w:p>
        </w:tc>
      </w:tr>
    </w:tbl>
    <w:p>
      <w:pPr>
        <w:spacing w:after="140" w:line="259" w:lineRule="auto"/>
      </w:pPr>
      <w:r>
        <w:rPr>
          <w:rFonts w:ascii="Georgia" w:hAnsi="Georgia"/>
          <w:b/>
          <w:color w:val="145A3A"/>
          <w:sz w:val="18"/>
        </w:rPr>
        <w:t>Fictional household · Adapt the plan to your family and access needs.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Georgia" w:hAnsi="Georgia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FFF1AF" stroked="f">
          <v:fill color="#FFF1A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Georgia" w:hAnsi="Georgia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