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Arial" w:hAnsi="Arial"/>
          <w:b/>
          <w:color w:val="1551A4"/>
          <w:sz w:val="18"/>
        </w:rPr>
        <w:t>SECOND LIFE / CAMPAIGN EDITION 01</w:t>
      </w:r>
    </w:p>
    <w:p>
      <w:pPr>
        <w:pStyle w:val="Title"/>
        <w:spacing w:after="140" w:line="259" w:lineRule="auto"/>
      </w:pPr>
      <w:r>
        <w:rPr>
          <w:rFonts w:ascii="Arial" w:hAnsi="Arial"/>
          <w:b/>
          <w:color w:val="17212B"/>
          <w:sz w:val="60"/>
        </w:rPr>
        <w:t>Second Life Repair Campaign</w:t>
      </w:r>
    </w:p>
    <w:p>
      <w:pPr>
        <w:spacing w:after="140" w:line="259" w:lineRule="auto"/>
      </w:pPr>
      <w:r>
        <w:rPr>
          <w:rFonts w:ascii="Arial" w:hAnsi="Arial"/>
          <w:b/>
          <w:color w:val="1551A4"/>
          <w:sz w:val="24"/>
        </w:rPr>
        <w:t>Make repair feel like a first choice. Show the work, explain the process and make booking simple.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316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1551A4"/>
                <w:sz w:val="58"/>
              </w:rPr>
              <w:t>120</w:t>
            </w:r>
          </w:p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20"/>
              </w:rPr>
              <w:t>illustrative repair slots over four weeks</w:t>
            </w:r>
          </w:p>
        </w:tc>
        <w:tc>
          <w:tcPr>
            <w:tcW w:type="dxa" w:w="6912"/>
          </w:tcPr>
          <w:p/>
          <w:p>
            <w:pPr>
              <w:spacing w:after="140" w:line="259" w:lineRule="auto"/>
              <w:ind w:right="822"/>
            </w:pPr>
            <w:r>
              <w:rPr>
                <w:rFonts w:ascii="Arial" w:hAnsi="Arial"/>
                <w:b w:val="0"/>
                <w:color w:val="17212B"/>
                <w:sz w:val="21"/>
              </w:rPr>
              <w:t>A fictional campaign for a local repair collective. The offer covers a 20-minute assessment; repair price and turnaround are confirmed after inspection.</w:t>
            </w:r>
          </w:p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1551A4"/>
                <w:sz w:val="28"/>
              </w:rPr>
              <w:t>The Story</w:t>
            </w:r>
          </w:p>
          <w:p>
            <w:pPr>
              <w:spacing w:after="140" w:line="259" w:lineRule="auto"/>
              <w:ind w:right="822"/>
            </w:pPr>
            <w:r>
              <w:rPr>
                <w:rFonts w:ascii="Arial" w:hAnsi="Arial"/>
                <w:b w:val="0"/>
                <w:color w:val="17212B"/>
                <w:sz w:val="21"/>
              </w:rPr>
              <w:t>Lead with a well-used object and its repair, not an unsupported sustainability promise. Explain what can be fixed and what cannot.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shd w:fill="1551A4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456"/>
            <w:shd w:fill="1551A4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3456"/>
            <w:shd w:fill="1551A4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Window poster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Keep the Good Things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Scan for times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Email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See a repair in progress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Book assessment</w:t>
            </w:r>
          </w:p>
        </w:tc>
      </w:tr>
      <w:tr>
        <w:trPr>
          <w:cantSplit/>
        </w:trPr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Workshop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Meet the repair team</w:t>
            </w:r>
          </w:p>
        </w:tc>
        <w:tc>
          <w:tcPr>
            <w:tcW w:type="dxa" w:w="3456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Arial" w:hAnsi="Arial"/>
                <w:b w:val="0"/>
                <w:color w:val="17212B"/>
                <w:sz w:val="18"/>
              </w:rPr>
              <w:t>Bring one item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1551A4"/>
                <w:sz w:val="28"/>
              </w:rPr>
              <w:t>The Offer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1"/>
              </w:rPr>
              <w:t>Book an assessment, bring the item and receive a written estimate. No repair begins without approval. Parts may affect timing.</w:t>
            </w:r>
          </w:p>
        </w:tc>
        <w:tc>
          <w:tcPr>
            <w:tcW w:type="dxa" w:w="5040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Arial" w:hAnsi="Arial"/>
                <w:b/>
                <w:color w:val="1551A4"/>
                <w:sz w:val="28"/>
              </w:rPr>
              <w:t>Measure the Journey</w:t>
            </w:r>
          </w:p>
          <w:p>
            <w:pPr>
              <w:spacing w:after="140" w:line="259" w:lineRule="auto"/>
              <w:ind w:right="0"/>
            </w:pPr>
            <w:r>
              <w:rPr>
                <w:rFonts w:ascii="Arial" w:hAnsi="Arial"/>
                <w:b w:val="0"/>
                <w:color w:val="17212B"/>
                <w:sz w:val="21"/>
              </w:rPr>
              <w:t>Track assessment bookings, attended appointments and approved repairs separately. Do not present bookings as completed repairs.</w:t>
            </w:r>
          </w:p>
        </w:tc>
      </w:tr>
    </w:tbl>
    <w:p>
      <w:pPr>
        <w:spacing w:after="140" w:line="259" w:lineRule="auto"/>
      </w:pPr>
      <w:r>
        <w:rPr>
          <w:rFonts w:ascii="Arial" w:hAnsi="Arial"/>
          <w:b/>
          <w:color w:val="1551A4"/>
          <w:sz w:val="18"/>
        </w:rPr>
        <w:t>Fictional campaign · Capacity figures are planning assumptions.</w:t>
      </w:r>
    </w:p>
    <w:sectPr w:rsidR="00FC693F" w:rsidRPr="0006063C" w:rsidSect="00034616">
      <w:footerReference w:type="default" r:id="rId9"/>
      <w:headerReference w:type="default" r:id="rId10"/>
      <w:pgSz w:w="11952" w:h="16848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Arial" w:hAnsi="Arial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597.6pt;height:842.4pt;z-index:-251654144;mso-position-horizontal-relative:page;mso-position-vertical-relative:page" fillcolor="#FFFFFF" stroked="f">
          <v:fill color="#FFFFF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212B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21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17212B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