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40" w:line="269" w:lineRule="auto"/>
      </w:pPr>
      <w:r>
        <w:rPr>
          <w:rFonts w:ascii="Georgia" w:hAnsi="Georgia"/>
          <w:b/>
          <w:color w:val="006548"/>
          <w:sz w:val="18"/>
        </w:rPr>
        <w:t>JUNIPER / SCOPE 014 / THE FEE WATERFALL</w:t>
      </w:r>
    </w:p>
    <w:p>
      <w:pPr>
        <w:pStyle w:val="Title"/>
        <w:spacing w:after="140" w:line="269" w:lineRule="auto"/>
      </w:pPr>
      <w:r>
        <w:rPr>
          <w:rFonts w:ascii="Georgia" w:hAnsi="Georgia"/>
          <w:b/>
          <w:color w:val="000000"/>
          <w:sz w:val="64"/>
        </w:rPr>
        <w:t>Juniper Studio Service Proposal</w:t>
      </w:r>
    </w:p>
    <w:p>
      <w:pPr>
        <w:spacing w:after="140" w:line="269" w:lineRule="auto"/>
      </w:pPr>
      <w:r>
        <w:rPr>
          <w:rFonts w:ascii="Georgia" w:hAnsi="Georgia"/>
          <w:b/>
          <w:color w:val="006548"/>
          <w:sz w:val="24"/>
        </w:rPr>
        <w:t>Replace the fragmented booking journey with one accessible flow, delivered in three reviewable stages.</w:t>
      </w:r>
    </w:p>
    <w:p>
      <w:pPr>
        <w:spacing w:after="140" w:line="269" w:lineRule="auto"/>
      </w:pPr>
      <w:r>
        <w:rPr>
          <w:rFonts w:ascii="Georgia" w:hAnsi="Georgia"/>
          <w:b/>
          <w:color w:val="006548"/>
          <w:sz w:val="92"/>
        </w:rPr>
        <w:t>$24,000</w:t>
      </w:r>
    </w:p>
    <w:p>
      <w:pPr>
        <w:spacing w:after="140" w:line="269" w:lineRule="auto"/>
      </w:pPr>
      <w:r>
        <w:rPr>
          <w:rFonts w:ascii="Georgia" w:hAnsi="Georgia"/>
          <w:b w:val="0"/>
          <w:color w:val="17212B"/>
          <w:sz w:val="22"/>
        </w:rPr>
        <w:t>fixed fee for the defined scope</w:t>
      </w:r>
    </w:p>
    <w:p>
      <w:pPr>
        <w:spacing w:after="140" w:line="269" w:lineRule="auto"/>
      </w:pPr>
      <w:r>
        <w:rPr>
          <w:rFonts w:ascii="Georgia" w:hAnsi="Georgia"/>
          <w:b w:val="0"/>
          <w:color w:val="17212B"/>
          <w:sz w:val="22"/>
        </w:rPr>
        <w:t>The fictional engagement covers research synthesis, interaction design and a tested frontend prototype for a neighborhood arts venue. Production integration is a separate engagement.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  <w:shd w:fill="006548"/>
          </w:tcPr>
          <w:p>
            <w:pPr>
              <w:spacing w:after="160" w:before="100"/>
            </w:pPr>
            <w:r>
              <w:rPr>
                <w:rFonts w:ascii="Georgia" w:hAnsi="Georgia"/>
                <w:b/>
                <w:color w:val="FFFFFF"/>
                <w:sz w:val="20"/>
              </w:rPr>
              <w:t>Stage</w:t>
            </w:r>
          </w:p>
        </w:tc>
        <w:tc>
          <w:tcPr>
            <w:tcW w:type="dxa" w:w="3408"/>
            <w:shd w:fill="006548"/>
          </w:tcPr>
          <w:p>
            <w:pPr>
              <w:spacing w:after="160" w:before="100"/>
            </w:pPr>
            <w:r>
              <w:rPr>
                <w:rFonts w:ascii="Georgia" w:hAnsi="Georgia"/>
                <w:b/>
                <w:color w:val="FFFFFF"/>
                <w:sz w:val="20"/>
              </w:rPr>
              <w:t>Deliverable</w:t>
            </w:r>
          </w:p>
        </w:tc>
        <w:tc>
          <w:tcPr>
            <w:tcW w:type="dxa" w:w="3408"/>
            <w:shd w:fill="006548"/>
          </w:tcPr>
          <w:p>
            <w:pPr>
              <w:spacing w:after="160" w:before="100"/>
            </w:pPr>
            <w:r>
              <w:rPr>
                <w:rFonts w:ascii="Georgia" w:hAnsi="Georgia"/>
                <w:b/>
                <w:color w:val="FFFFFF"/>
                <w:sz w:val="20"/>
              </w:rPr>
              <w:t>Fee</w:t>
            </w:r>
          </w:p>
        </w:tc>
      </w:tr>
      <w:tr>
        <w:tc>
          <w:tcPr>
            <w:tcW w:type="dxa" w:w="3408"/>
            <w:shd w:fill="E5FF3D"/>
          </w:tcPr>
          <w:p>
            <w:pPr>
              <w:spacing w:after="160" w:before="100"/>
            </w:pPr>
            <w:r>
              <w:rPr>
                <w:rFonts w:ascii="Georgia" w:hAnsi="Georgia"/>
                <w:b w:val="0"/>
                <w:color w:val="17212B"/>
                <w:sz w:val="20"/>
              </w:rPr>
              <w:t>01 Discover</w:t>
            </w:r>
          </w:p>
        </w:tc>
        <w:tc>
          <w:tcPr>
            <w:tcW w:type="dxa" w:w="3408"/>
            <w:shd w:fill="E5FF3D"/>
          </w:tcPr>
          <w:p>
            <w:pPr>
              <w:spacing w:after="160" w:before="100"/>
            </w:pPr>
            <w:r>
              <w:rPr>
                <w:rFonts w:ascii="Georgia" w:hAnsi="Georgia"/>
                <w:b w:val="0"/>
                <w:color w:val="17212B"/>
                <w:sz w:val="20"/>
              </w:rPr>
              <w:t>Journey and success measures</w:t>
            </w:r>
          </w:p>
        </w:tc>
        <w:tc>
          <w:tcPr>
            <w:tcW w:type="dxa" w:w="3408"/>
            <w:shd w:fill="E5FF3D"/>
          </w:tcPr>
          <w:p>
            <w:pPr>
              <w:spacing w:after="160" w:before="100"/>
            </w:pPr>
            <w:r>
              <w:rPr>
                <w:rFonts w:ascii="Georgia" w:hAnsi="Georgia"/>
                <w:b w:val="0"/>
                <w:color w:val="17212B"/>
                <w:sz w:val="20"/>
              </w:rPr>
              <w:t>$6,000</w:t>
            </w:r>
          </w:p>
        </w:tc>
      </w:tr>
      <w:tr>
        <w:tc>
          <w:tcPr>
            <w:tcW w:type="dxa" w:w="3408"/>
            <w:shd w:fill="FFFFFF"/>
          </w:tcPr>
          <w:p>
            <w:pPr>
              <w:spacing w:after="160" w:before="100"/>
            </w:pPr>
            <w:r>
              <w:rPr>
                <w:rFonts w:ascii="Georgia" w:hAnsi="Georgia"/>
                <w:b w:val="0"/>
                <w:color w:val="17212B"/>
                <w:sz w:val="20"/>
              </w:rPr>
              <w:t>02 Design</w:t>
            </w:r>
          </w:p>
        </w:tc>
        <w:tc>
          <w:tcPr>
            <w:tcW w:type="dxa" w:w="3408"/>
            <w:shd w:fill="FFFFFF"/>
          </w:tcPr>
          <w:p>
            <w:pPr>
              <w:spacing w:after="160" w:before="100"/>
            </w:pPr>
            <w:r>
              <w:rPr>
                <w:rFonts w:ascii="Georgia" w:hAnsi="Georgia"/>
                <w:b w:val="0"/>
                <w:color w:val="17212B"/>
                <w:sz w:val="20"/>
              </w:rPr>
              <w:t>Six screens and component states</w:t>
            </w:r>
          </w:p>
        </w:tc>
        <w:tc>
          <w:tcPr>
            <w:tcW w:type="dxa" w:w="3408"/>
            <w:shd w:fill="FFFFFF"/>
          </w:tcPr>
          <w:p>
            <w:pPr>
              <w:spacing w:after="160" w:before="100"/>
            </w:pPr>
            <w:r>
              <w:rPr>
                <w:rFonts w:ascii="Georgia" w:hAnsi="Georgia"/>
                <w:b w:val="0"/>
                <w:color w:val="17212B"/>
                <w:sz w:val="20"/>
              </w:rPr>
              <w:t>$10,000</w:t>
            </w:r>
          </w:p>
        </w:tc>
      </w:tr>
      <w:tr>
        <w:tc>
          <w:tcPr>
            <w:tcW w:type="dxa" w:w="3408"/>
            <w:shd w:fill="E5FF3D"/>
          </w:tcPr>
          <w:p>
            <w:pPr>
              <w:spacing w:after="160" w:before="100"/>
            </w:pPr>
            <w:r>
              <w:rPr>
                <w:rFonts w:ascii="Georgia" w:hAnsi="Georgia"/>
                <w:b w:val="0"/>
                <w:color w:val="17212B"/>
                <w:sz w:val="20"/>
              </w:rPr>
              <w:t>03 Validate</w:t>
            </w:r>
          </w:p>
        </w:tc>
        <w:tc>
          <w:tcPr>
            <w:tcW w:type="dxa" w:w="3408"/>
            <w:shd w:fill="E5FF3D"/>
          </w:tcPr>
          <w:p>
            <w:pPr>
              <w:spacing w:after="160" w:before="100"/>
            </w:pPr>
            <w:r>
              <w:rPr>
                <w:rFonts w:ascii="Georgia" w:hAnsi="Georgia"/>
                <w:b w:val="0"/>
                <w:color w:val="17212B"/>
                <w:sz w:val="20"/>
              </w:rPr>
              <w:t>Prototype and handoff</w:t>
            </w:r>
          </w:p>
        </w:tc>
        <w:tc>
          <w:tcPr>
            <w:tcW w:type="dxa" w:w="3408"/>
            <w:shd w:fill="E5FF3D"/>
          </w:tcPr>
          <w:p>
            <w:pPr>
              <w:spacing w:after="160" w:before="100"/>
            </w:pPr>
            <w:r>
              <w:rPr>
                <w:rFonts w:ascii="Georgia" w:hAnsi="Georgia"/>
                <w:b w:val="0"/>
                <w:color w:val="17212B"/>
                <w:sz w:val="20"/>
              </w:rPr>
              <w:t>$8,000</w:t>
            </w:r>
          </w:p>
        </w:tc>
      </w:tr>
    </w:tbl>
    <w:p>
      <w:pPr>
        <w:pStyle w:val="Heading1"/>
        <w:spacing w:after="140" w:line="269" w:lineRule="auto"/>
      </w:pPr>
      <w:r>
        <w:rPr>
          <w:rFonts w:ascii="Georgia" w:hAnsi="Georgia"/>
          <w:b/>
          <w:color w:val="006548"/>
          <w:sz w:val="30"/>
        </w:rPr>
        <w:t>Included</w:t>
      </w:r>
    </w:p>
    <w:p>
      <w:pPr>
        <w:spacing w:after="140" w:line="269" w:lineRule="auto"/>
      </w:pPr>
      <w:r>
        <w:rPr>
          <w:rFonts w:ascii="Georgia" w:hAnsi="Georgia"/>
          <w:b w:val="0"/>
          <w:color w:val="17212B"/>
          <w:sz w:val="22"/>
        </w:rPr>
        <w:t>Two stakeholder workshops, six core screens, responsive specifications, accessible component states and a documented prototype handoff.</w:t>
      </w:r>
    </w:p>
    <w:p>
      <w:pPr>
        <w:pStyle w:val="Heading1"/>
        <w:spacing w:after="140" w:line="269" w:lineRule="auto"/>
      </w:pPr>
      <w:r>
        <w:rPr>
          <w:rFonts w:ascii="Georgia" w:hAnsi="Georgia"/>
          <w:b/>
          <w:color w:val="006548"/>
          <w:sz w:val="30"/>
        </w:rPr>
        <w:t>Working Together</w:t>
      </w:r>
    </w:p>
    <w:p>
      <w:pPr>
        <w:spacing w:after="140" w:line="269" w:lineRule="auto"/>
      </w:pPr>
      <w:r>
        <w:rPr>
          <w:rFonts w:ascii="Georgia" w:hAnsi="Georgia"/>
          <w:b w:val="0"/>
          <w:color w:val="17212B"/>
          <w:sz w:val="22"/>
        </w:rPr>
        <w:t>One named decision owner consolidates feedback within three working days. Each stage ends with a review, not an implied approval.</w:t>
      </w:r>
    </w:p>
    <w:p>
      <w:pPr>
        <w:pStyle w:val="Heading1"/>
        <w:spacing w:after="140" w:line="269" w:lineRule="auto"/>
      </w:pPr>
      <w:r>
        <w:rPr>
          <w:rFonts w:ascii="Georgia" w:hAnsi="Georgia"/>
          <w:b/>
          <w:color w:val="006548"/>
          <w:sz w:val="30"/>
        </w:rPr>
        <w:t>Commercial Terms</w:t>
      </w:r>
    </w:p>
    <w:p>
      <w:pPr>
        <w:spacing w:after="140" w:line="269" w:lineRule="auto"/>
      </w:pPr>
      <w:r>
        <w:rPr>
          <w:rFonts w:ascii="Georgia" w:hAnsi="Georgia"/>
          <w:b w:val="0"/>
          <w:color w:val="17212B"/>
          <w:sz w:val="22"/>
        </w:rPr>
        <w:t>Invoices follow the milestones below. The estimate excludes taxes, third-party subscriptions, production hosting and changes outside the agreed six screens.</w:t>
      </w:r>
    </w:p>
    <w:p>
      <w:pPr>
        <w:spacing w:after="140" w:line="269" w:lineRule="auto"/>
      </w:pPr>
      <w:r>
        <w:rPr>
          <w:rFonts w:ascii="Georgia" w:hAnsi="Georgia"/>
          <w:b/>
          <w:color w:val="006548"/>
          <w:sz w:val="20"/>
        </w:rPr>
        <w:t>Offer valid for 30 days · Start date follows written acceptance.</w:t>
      </w:r>
    </w:p>
    <w:sectPr w:rsidR="00FC693F" w:rsidRPr="0006063C" w:rsidSect="00034616">
      <w:footerReference w:type="default" r:id="rId9"/>
      <w:pgSz w:w="11952" w:h="16848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p>
    <w:pPr>
      <w:spacing w:after="140" w:line="269" w:lineRule="auto"/>
    </w:pPr>
    <w:r>
      <w:rPr>
        <w:rFonts w:ascii="Georgia" w:hAnsi="Georgia"/>
        <w:b w:val="0"/>
        <w:color w:val="17212B"/>
        <w:sz w:val="16"/>
      </w:rPr>
      <w:t>Fictional Worked Example / The Fee Waterfall / 01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Georgia" w:hAnsi="Georgia"/>
      <w:sz w:val="22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Georgia" w:hAnsi="Georgia"/>
      <w:sz w:val="22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cstheme="majorBidi" w:ascii="Georgia" w:hAnsi="Georgia"/>
      <w:b/>
      <w:bCs/>
      <w:color w:val="365F91" w:themeColor="accent1" w:themeShade="BF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cstheme="majorBidi" w:ascii="Georgia" w:hAnsi="Georgia"/>
      <w:b/>
      <w:bCs/>
      <w:color w:val="4F81BD" w:themeColor="accent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cstheme="majorBidi" w:ascii="Georgia" w:hAnsi="Georgia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cstheme="majorBidi" w:ascii="Georgia" w:hAnsi="Georgia"/>
      <w:b/>
      <w:bCs/>
      <w:i/>
      <w:iCs/>
      <w:color w:val="4F81BD" w:themeColor="accent1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cstheme="majorBidi" w:ascii="Georgia" w:hAnsi="Georgia"/>
      <w:color w:val="243F60" w:themeColor="accent1" w:themeShade="7F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cstheme="majorBidi" w:ascii="Georgia" w:hAnsi="Georgia"/>
      <w:i/>
      <w:iCs/>
      <w:color w:val="243F60" w:themeColor="accent1" w:themeShade="7F"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cstheme="majorBidi" w:ascii="Georgia" w:hAnsi="Georgia"/>
      <w:i/>
      <w:iCs/>
      <w:color w:val="404040" w:themeColor="text1" w:themeTint="BF"/>
      <w:sz w:val="2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cstheme="majorBidi" w:ascii="Georgia" w:hAnsi="Georgia"/>
      <w:color w:val="4F81BD" w:themeColor="accent1"/>
      <w:sz w:val="22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cstheme="majorBidi" w:ascii="Georgia" w:hAnsi="Georgia"/>
      <w:i/>
      <w:iCs/>
      <w:color w:val="404040" w:themeColor="text1" w:themeTint="BF"/>
      <w:sz w:val="22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Georgia" w:hAnsi="Georgia"/>
      <w:sz w:val="22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cstheme="majorBidi" w:ascii="Georgia" w:hAnsi="Georgia"/>
      <w:color w:val="17365D" w:themeColor="text2" w:themeShade="BF"/>
      <w:spacing w:val="5"/>
      <w:kern w:val="28"/>
      <w:sz w:val="2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cstheme="majorBidi" w:ascii="Georgia" w:hAnsi="Georgia"/>
      <w:i/>
      <w:iCs/>
      <w:color w:val="4F81BD" w:themeColor="accent1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Georgia" w:hAnsi="Georgia"/>
      <w:sz w:val="22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Georgia" w:hAnsi="Georgia"/>
      <w:sz w:val="22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Georgia" w:hAnsi="Georgia"/>
      <w:sz w:val="22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Georgia" w:hAnsi="Georgia"/>
      <w:sz w:val="22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Georgia" w:hAnsi="Georgia"/>
      <w:sz w:val="22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Georgia" w:hAnsi="Georgia"/>
      <w:sz w:val="22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Georgia" w:hAnsi="Georgia"/>
      <w:sz w:val="22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Georgia" w:hAnsi="Georgia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Georgia" w:hAnsi="Georgia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Georgia" w:hAnsi="Georgia"/>
      <w:sz w:val="22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Georgia" w:hAnsi="Georgia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Georgia" w:hAnsi="Georgia"/>
      <w:sz w:val="22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Georgia" w:hAnsi="Georgia"/>
      <w:sz w:val="22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Georgia" w:hAnsi="Georgia"/>
      <w:sz w:val="22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Georgia" w:hAnsi="Georgia"/>
      <w:sz w:val="22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Georgia" w:hAnsi="Georgia"/>
      <w:sz w:val="22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Georgia" w:hAnsi="Georgia"/>
      <w:sz w:val="22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Georgia" w:hAnsi="Georgia"/>
      <w:i/>
      <w:iCs/>
      <w:color w:val="000000" w:themeColor="text1"/>
      <w:sz w:val="22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Georgia" w:hAnsi="Georgia"/>
      <w:b/>
      <w:bCs/>
      <w:color w:val="4F81BD" w:themeColor="accent1"/>
      <w:sz w:val="22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rFonts w:ascii="Georgia" w:hAnsi="Georgia"/>
      <w:b/>
      <w:bCs/>
      <w:i/>
      <w:iCs/>
      <w:color w:val="4F81BD" w:themeColor="accent1"/>
      <w:sz w:val="2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Georgia" w:hAnsi="Georgia"/>
      <w:sz w:val="22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