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Arial" w:hAnsi="Arial"/>
          <w:b/>
          <w:color w:val="004EC4"/>
          <w:sz w:val="18"/>
        </w:rPr>
        <w:t>NORTHLINE / OPERATING REVIEW / RELEASE GATE MAP</w:t>
      </w:r>
    </w:p>
    <w:p>
      <w:pPr>
        <w:pStyle w:val="Title"/>
        <w:spacing w:after="140" w:line="269" w:lineRule="auto"/>
      </w:pPr>
      <w:r>
        <w:rPr>
          <w:rFonts w:ascii="Arial" w:hAnsi="Arial"/>
          <w:b/>
          <w:color w:val="000000"/>
          <w:sz w:val="64"/>
        </w:rPr>
        <w:t>Harbor Exchange Launch Decision</w:t>
      </w:r>
    </w:p>
    <w:p>
      <w:pPr>
        <w:spacing w:after="140" w:line="269" w:lineRule="auto"/>
      </w:pPr>
      <w:r>
        <w:rPr>
          <w:rFonts w:ascii="Arial" w:hAnsi="Arial"/>
          <w:b/>
          <w:color w:val="004EC4"/>
          <w:sz w:val="24"/>
        </w:rPr>
        <w:t>Release the exchange in two stages. Keep the settlement hold until reconciliation is complete.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04EC4"/>
          </w:tcPr>
          <w:p/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38"/>
              </w:rPr>
              <w:t>LIMITED RELEASE  /  SETTLEMENT ON HOLD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 w:val="0"/>
          <w:color w:val="17212B"/>
          <w:sz w:val="24"/>
        </w:rPr>
        <w:t>The six-week pilot processed 1,250 synthetic transactions. Reconciliation matched 1,150; the remaining 100 need manual review before settlement can be enabled.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004EC4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Gate</w:t>
            </w:r>
          </w:p>
        </w:tc>
        <w:tc>
          <w:tcPr>
            <w:tcW w:type="dxa" w:w="3408"/>
            <w:shd w:fill="004EC4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Evidence</w:t>
            </w:r>
          </w:p>
        </w:tc>
        <w:tc>
          <w:tcPr>
            <w:tcW w:type="dxa" w:w="3408"/>
            <w:shd w:fill="004EC4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Account setup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240 completed test journeys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Ready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Tracking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98% delivered within 2 seconds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Ready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Settlement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100 unmatched records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Hold</w:t>
            </w:r>
          </w:p>
        </w:tc>
      </w:tr>
    </w:tbl>
    <w:p>
      <w:pPr>
        <w:pStyle w:val="Heading1"/>
        <w:spacing w:after="140" w:line="269" w:lineRule="auto"/>
      </w:pPr>
      <w:r>
        <w:rPr>
          <w:rFonts w:ascii="Arial" w:hAnsi="Arial"/>
          <w:b/>
          <w:color w:val="004EC4"/>
          <w:sz w:val="36"/>
        </w:rPr>
        <w:t>92% Reconciled Is Not Full Release Readiness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004EC4"/>
          <w:sz w:val="30"/>
        </w:rPr>
        <w:t>Approve the Limited Release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Open account setup and order tracking on 14 July. Keep settlement disabled until the exception queue is empty and Finance signs the control record.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004EC4"/>
          <w:sz w:val="30"/>
        </w:rPr>
        <w:t>What Changed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A single owner now resolves each exception. The support team has a tested escalation route, and the release can be rolled back without losing the review history.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004EC4"/>
          <w:sz w:val="30"/>
        </w:rPr>
        <w:t>Decision Owners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Mara Chen owns reconciliation; Omar Diaz owns rollback readiness. Both report to the release lead at 09:00 on launch day.</w:t>
      </w:r>
    </w:p>
    <w:p>
      <w:pPr>
        <w:spacing w:after="140" w:line="269" w:lineRule="auto"/>
      </w:pPr>
      <w:r>
        <w:rPr>
          <w:rFonts w:ascii="Arial" w:hAnsi="Arial"/>
          <w:b/>
          <w:color w:val="004EC4"/>
          <w:sz w:val="20"/>
        </w:rPr>
        <w:t>Decision due 10 July · Approve the limited scope, not settlement.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Arial" w:hAnsi="Arial"/>
        <w:b w:val="0"/>
        <w:color w:val="17212B"/>
        <w:sz w:val="16"/>
      </w:rPr>
      <w:t>Fictional Worked Example / Release Gate Map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