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69" w:lineRule="auto"/>
      </w:pPr>
      <w:r>
        <w:rPr>
          <w:rFonts w:ascii="Arial" w:hAnsi="Arial"/>
          <w:b/>
          <w:i w:val="0"/>
          <w:color w:val="C25529"/>
          <w:sz w:val="18"/>
        </w:rPr>
        <w:t>MATTER 026 / INTERNAL REVIEW</w:t>
      </w:r>
    </w:p>
    <w:p>
      <w:pPr>
        <w:pStyle w:val="Title"/>
        <w:spacing w:after="160" w:line="269" w:lineRule="auto"/>
      </w:pPr>
      <w:r>
        <w:rPr>
          <w:rFonts w:ascii="Georgia" w:hAnsi="Georgia"/>
          <w:b w:val="0"/>
          <w:i w:val="0"/>
          <w:color w:val="181818"/>
          <w:sz w:val="60"/>
        </w:rPr>
        <w:t>Orchard Lane Notice Review</w:t>
      </w:r>
    </w:p>
    <w:p>
      <w:pPr>
        <w:spacing w:after="400" w:line="269" w:lineRule="auto"/>
      </w:pPr>
      <w:r>
        <w:rPr>
          <w:rFonts w:ascii="Georgia" w:hAnsi="Georgia"/>
          <w:b w:val="0"/>
          <w:i/>
          <w:color w:val="C25529"/>
          <w:sz w:val="28"/>
        </w:rPr>
        <w:t>The record supports delivery. It does not yet establish that the recipient accepted the revised terms.</w:t>
      </w:r>
    </w:p>
    <w:p>
      <w:pPr>
        <w:spacing w:after="240" w:line="269" w:lineRule="auto"/>
      </w:pPr>
      <w:r>
        <w:rPr>
          <w:rFonts w:ascii="Georgia" w:hAnsi="Georgia"/>
          <w:b w:val="0"/>
          <w:i w:val="0"/>
          <w:color w:val="181818"/>
          <w:sz w:val="22"/>
        </w:rPr>
        <w:t>This fictional matter note separates the available correspondence from the questions counsel must resolve. It contains no jurisdiction-specific legal conclusion.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92"/>
        <w:gridCol w:w="4147"/>
        <w:gridCol w:w="3629"/>
      </w:tblGrid>
      <w:tr>
        <w:trPr>
          <w:cantSplit/>
          <w:tblHeader/>
        </w:trPr>
        <w:tc>
          <w:tcPr>
            <w:tcW w:type="dxa" w:w="3456"/>
            <w:shd w:fill="C25529"/>
          </w:tcPr>
          <w:p>
            <w:pPr>
              <w:spacing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Date</w:t>
            </w:r>
          </w:p>
        </w:tc>
        <w:tc>
          <w:tcPr>
            <w:tcW w:type="dxa" w:w="3456"/>
            <w:shd w:fill="C25529"/>
          </w:tcPr>
          <w:p>
            <w:pPr>
              <w:spacing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Record</w:t>
            </w:r>
          </w:p>
        </w:tc>
        <w:tc>
          <w:tcPr>
            <w:tcW w:type="dxa" w:w="3456"/>
            <w:shd w:fill="C25529"/>
          </w:tcPr>
          <w:p>
            <w:pPr>
              <w:spacing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Significance</w:t>
            </w:r>
          </w:p>
        </w:tc>
      </w:tr>
      <w:tr>
        <w:trPr>
          <w:cantSplit/>
        </w:trPr>
        <w:tc>
          <w:tcPr>
            <w:tcW w:type="dxa" w:w="2592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/>
                <w:color w:val="181818"/>
                <w:sz w:val="20"/>
              </w:rPr>
              <w:t>04 May</w:t>
            </w:r>
          </w:p>
        </w:tc>
        <w:tc>
          <w:tcPr>
            <w:tcW w:type="dxa" w:w="4147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 w:val="0"/>
                <w:color w:val="181818"/>
                <w:sz w:val="20"/>
              </w:rPr>
              <w:t>Notice dispatched</w:t>
            </w:r>
          </w:p>
        </w:tc>
        <w:tc>
          <w:tcPr>
            <w:tcW w:type="dxa" w:w="3629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 w:val="0"/>
                <w:color w:val="181818"/>
                <w:sz w:val="20"/>
              </w:rPr>
              <w:t>Delivery initiated</w:t>
            </w:r>
          </w:p>
        </w:tc>
      </w:tr>
      <w:tr>
        <w:trPr>
          <w:cantSplit/>
        </w:trPr>
        <w:tc>
          <w:tcPr>
            <w:tcW w:type="dxa" w:w="2592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/>
                <w:color w:val="181818"/>
                <w:sz w:val="20"/>
              </w:rPr>
              <w:t>06 May</w:t>
            </w:r>
          </w:p>
        </w:tc>
        <w:tc>
          <w:tcPr>
            <w:tcW w:type="dxa" w:w="4147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 w:val="0"/>
                <w:color w:val="181818"/>
                <w:sz w:val="20"/>
              </w:rPr>
              <w:t>Receipt acknowledged</w:t>
            </w:r>
          </w:p>
        </w:tc>
        <w:tc>
          <w:tcPr>
            <w:tcW w:type="dxa" w:w="3629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 w:val="0"/>
                <w:color w:val="181818"/>
                <w:sz w:val="20"/>
              </w:rPr>
              <w:t>Receipt only</w:t>
            </w:r>
          </w:p>
        </w:tc>
      </w:tr>
      <w:tr>
        <w:trPr>
          <w:cantSplit/>
        </w:trPr>
        <w:tc>
          <w:tcPr>
            <w:tcW w:type="dxa" w:w="2592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/>
                <w:color w:val="181818"/>
                <w:sz w:val="20"/>
              </w:rPr>
              <w:t>09 May</w:t>
            </w:r>
          </w:p>
        </w:tc>
        <w:tc>
          <w:tcPr>
            <w:tcW w:type="dxa" w:w="4147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 w:val="0"/>
                <w:color w:val="181818"/>
                <w:sz w:val="20"/>
              </w:rPr>
              <w:t>Dates discussed</w:t>
            </w:r>
          </w:p>
        </w:tc>
        <w:tc>
          <w:tcPr>
            <w:tcW w:type="dxa" w:w="3629"/>
            <w:shd w:fill="FFFFFF"/>
          </w:tcPr>
          <w:p>
            <w:pPr>
              <w:spacing w:after="160" w:line="269" w:lineRule="auto"/>
            </w:pPr>
            <w:r>
              <w:rPr>
                <w:rFonts w:ascii="Arial" w:hAnsi="Arial"/>
                <w:b w:val="0"/>
                <w:color w:val="181818"/>
                <w:sz w:val="20"/>
              </w:rPr>
              <w:t>Acceptance unresolved</w:t>
            </w:r>
          </w:p>
        </w:tc>
      </w:tr>
    </w:tbl>
    <w:p>
      <w:pPr>
        <w:pStyle w:val="Heading1"/>
        <w:spacing w:after="160" w:line="269" w:lineRule="auto"/>
      </w:pPr>
      <w:r>
        <w:rPr>
          <w:rFonts w:ascii="Georgia" w:hAnsi="Georgia"/>
          <w:b/>
          <w:i w:val="0"/>
          <w:color w:val="C25529"/>
          <w:sz w:val="28"/>
        </w:rPr>
        <w:t>Issue Presented</w:t>
      </w:r>
    </w:p>
    <w:p>
      <w:pPr>
        <w:spacing w:after="160" w:line="269" w:lineRule="auto"/>
      </w:pPr>
      <w:r>
        <w:rPr>
          <w:rFonts w:ascii="Georgia" w:hAnsi="Georgia"/>
          <w:b w:val="0"/>
          <w:i w:val="0"/>
          <w:color w:val="181818"/>
          <w:sz w:val="22"/>
        </w:rPr>
        <w:t>Which version of the terms accompanied the notice, and what evidence records the recipient's response? Review the document trail before drawing a conclusion.</w:t>
      </w:r>
    </w:p>
    <w:p>
      <w:pPr>
        <w:pStyle w:val="Heading1"/>
        <w:spacing w:after="160" w:line="269" w:lineRule="auto"/>
      </w:pPr>
      <w:r>
        <w:rPr>
          <w:rFonts w:ascii="Georgia" w:hAnsi="Georgia"/>
          <w:b/>
          <w:i w:val="0"/>
          <w:color w:val="C25529"/>
          <w:sz w:val="28"/>
        </w:rPr>
        <w:t>Record Gaps</w:t>
      </w:r>
    </w:p>
    <w:p>
      <w:pPr>
        <w:spacing w:after="160" w:line="269" w:lineRule="auto"/>
      </w:pPr>
      <w:r>
        <w:rPr>
          <w:rFonts w:ascii="Georgia" w:hAnsi="Georgia"/>
          <w:b w:val="0"/>
          <w:i w:val="0"/>
          <w:color w:val="181818"/>
          <w:sz w:val="22"/>
        </w:rPr>
        <w:t>The dispatch log identifies an attachment but does not preserve its hash. A reply refers to revised dates without identifying a signed amendment.</w:t>
      </w:r>
    </w:p>
    <w:p>
      <w:pPr>
        <w:pStyle w:val="Heading1"/>
        <w:spacing w:after="160" w:line="269" w:lineRule="auto"/>
      </w:pPr>
      <w:r>
        <w:rPr>
          <w:rFonts w:ascii="Georgia" w:hAnsi="Georgia"/>
          <w:b/>
          <w:i w:val="0"/>
          <w:color w:val="C25529"/>
          <w:sz w:val="28"/>
        </w:rPr>
        <w:t>Next Review</w:t>
      </w:r>
    </w:p>
    <w:p>
      <w:pPr>
        <w:spacing w:after="160" w:line="269" w:lineRule="auto"/>
      </w:pPr>
      <w:r>
        <w:rPr>
          <w:rFonts w:ascii="Georgia" w:hAnsi="Georgia"/>
          <w:b w:val="0"/>
          <w:i w:val="0"/>
          <w:color w:val="181818"/>
          <w:sz w:val="22"/>
        </w:rPr>
        <w:t>Obtain the original attachment and complete message headers. Keep the current chronology provisional until the underlying files are reconciled.</w:t>
      </w:r>
    </w:p>
    <w:p>
      <w:pPr>
        <w:spacing w:after="80" w:line="269" w:lineRule="auto"/>
      </w:pPr>
      <w:r>
        <w:rPr>
          <w:rFonts w:ascii="Arial" w:hAnsi="Arial"/>
          <w:b/>
          <w:i w:val="0"/>
          <w:color w:val="C25529"/>
          <w:sz w:val="18"/>
        </w:rPr>
        <w:t>Prepared for counsel · Fictional training material,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181818"/>
        <w:sz w:val="16"/>
      </w:rPr>
      <w:t>DAZZLER  /  FICTIONAL EXAMPLE  /  LEGAL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pict>
        <v:rect id="DazzlerPageSurface" style="position:absolute;margin-left:0;margin-top:0;width:612.0pt;height:792.0pt;z-index:-251654144;mso-position-horizontal-relative:page;mso-position-vertical-relative:page" fillcolor="#FFFFFF" stroked="f">
          <v:fill color="#FFFF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Orchard Lane Notice Review</dc:title>
  <dc:subject/>
  <dc:creator>Jon Gosier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