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63305D"/>
          <w:sz w:val="16"/>
        </w:rPr>
        <w:t>MATTER 27-014   /   01</w:t>
      </w:r>
    </w:p>
    <w:p>
      <w:pPr>
        <w:pStyle w:val="Title"/>
      </w:pPr>
      <w:r>
        <w:t>Supplier Exit Review</w:t>
      </w:r>
    </w:p>
    <w:p>
      <w:pPr>
        <w:pStyle w:val="Subtitle"/>
      </w:pPr>
      <w:r>
        <w:rPr>
          <w:i/>
        </w:rPr>
        <w:t>Matter assessment memorandum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cantSplit/>
          <w:tblHeader/>
        </w:trPr>
        <w:tc>
          <w:tcPr>
            <w:tcW w:type="dxa" w:w="3485"/>
            <w:shd w:fill="63305D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58"/>
              </w:rPr>
              <w:t>3</w:t>
            </w:r>
          </w:p>
        </w:tc>
        <w:tc>
          <w:tcPr>
            <w:tcW w:type="dxa" w:w="3485"/>
            <w:shd w:fill="63305D"/>
            <w:tcMar>
              <w:top w:w="85" w:type="dxa"/>
              <w:left w:w="85" w:type="dxa"/>
              <w:bottom w:w="85" w:type="dxa"/>
              <w:right w:w="85" w:type="dxa"/>
            </w:tcMar>
            <w:shd w:fill="79571C"/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58"/>
              </w:rPr>
              <w:t>4</w:t>
            </w:r>
          </w:p>
        </w:tc>
        <w:tc>
          <w:tcPr>
            <w:tcW w:type="dxa" w:w="3485"/>
            <w:shd w:fill="63305D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58"/>
              </w:rPr>
              <w:t>0</w:t>
            </w:r>
          </w:p>
        </w:tc>
      </w:tr>
      <w:tr>
        <w:trPr>
          <w:cantSplit/>
        </w:trPr>
        <w:tc>
          <w:tcPr>
            <w:tcW w:type="dxa" w:w="3485"/>
            <w:shd w:fill="F0F2F6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20"/>
              </w:rPr>
              <w:t>chronology events</w:t>
            </w:r>
          </w:p>
        </w:tc>
        <w:tc>
          <w:tcPr>
            <w:tcW w:type="dxa" w:w="3485"/>
            <w:shd w:fill="F0F2F6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20"/>
              </w:rPr>
              <w:t>review questions</w:t>
            </w:r>
          </w:p>
        </w:tc>
        <w:tc>
          <w:tcPr>
            <w:tcW w:type="dxa" w:w="3485"/>
            <w:shd w:fill="F0F2F6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20"/>
              </w:rPr>
              <w:t>notices sent</w:t>
            </w:r>
          </w:p>
        </w:tc>
      </w:tr>
    </w:tbl>
    <w:p>
      <w:pPr>
        <w:spacing w:after="0" w:before="0" w:line="60" w:lineRule="exact"/>
      </w:pPr>
      <w:r>
        <w:rPr>
          <w:sz w:val="6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cantSplit/>
          <w:tblHeader/>
        </w:trPr>
        <w:tc>
          <w:tcPr>
            <w:tcW w:type="dxa" w:w="3485"/>
            <w:shd w:fill="63305D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20"/>
              </w:rPr>
              <w:t>To</w:t>
            </w:r>
          </w:p>
        </w:tc>
        <w:tc>
          <w:tcPr>
            <w:tcW w:type="dxa" w:w="3485"/>
            <w:shd w:fill="63305D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20"/>
              </w:rPr>
              <w:t>From</w:t>
            </w:r>
          </w:p>
        </w:tc>
        <w:tc>
          <w:tcPr>
            <w:tcW w:type="dxa" w:w="3485"/>
            <w:shd w:fill="63305D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20"/>
              </w:rPr>
              <w:t>Date</w:t>
            </w:r>
          </w:p>
        </w:tc>
      </w:tr>
      <w:tr>
        <w:trPr>
          <w:cantSplit/>
        </w:trPr>
        <w:tc>
          <w:tcPr>
            <w:tcW w:type="dxa" w:w="3485"/>
            <w:shd w:fill="F0F2F6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20"/>
              </w:rPr>
              <w:t>Reviewing counsel</w:t>
            </w:r>
          </w:p>
        </w:tc>
        <w:tc>
          <w:tcPr>
            <w:tcW w:type="dxa" w:w="3485"/>
            <w:shd w:fill="F0F2F6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20"/>
              </w:rPr>
              <w:t>Jordan Lee • Legal operations</w:t>
            </w:r>
          </w:p>
        </w:tc>
        <w:tc>
          <w:tcPr>
            <w:tcW w:type="dxa" w:w="3485"/>
            <w:shd w:fill="F0F2F6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20"/>
              </w:rPr>
              <w:t>18 June 2027</w:t>
            </w:r>
          </w:p>
        </w:tc>
      </w:tr>
    </w:tbl>
    <w:p>
      <w:pPr>
        <w:spacing w:after="0" w:before="0" w:line="60" w:lineRule="exact"/>
      </w:pPr>
      <w:r>
        <w:rPr>
          <w:sz w:val="6"/>
        </w:rPr>
      </w:r>
    </w:p>
    <w:p>
      <w:pPr>
        <w:ind w:right="4154"/>
      </w:pPr>
      <w:r>
        <w:rPr>
          <w:b w:val="0"/>
        </w:rPr>
        <w:t xml:space="preserve">Client matter: Alder Studio / Northline Services. Purpose: organize the record for counsel’s </w:t>
      </w:r>
      <w:r>
        <w:rPr>
          <w:b/>
          <w:color w:val="63305D"/>
        </w:rPr>
        <w:t>review</w:t>
      </w:r>
      <w:r>
        <w:rPr>
          <w:b w:val="0"/>
        </w:rPr>
        <w:t xml:space="preserve"> of a proposed supplier transition.</w:t>
      </w:r>
    </w:p>
    <w:p>
      <w:pPr>
        <w:shd w:fill="F1EDF6"/>
        <w:spacing w:before="120" w:after="160"/>
        <w:ind w:right="4154"/>
      </w:pPr>
      <w:r>
        <w:rPr>
          <w:b/>
          <w:color w:val="63305D"/>
          <w:sz w:val="18"/>
        </w:rPr>
        <w:t>QUESTION FOR REVIEW</w:t>
        <w:br/>
      </w:r>
      <w:r>
        <w:rPr>
          <w:b w:val="0"/>
        </w:rPr>
        <w:t>What contractual notice, transition and data-return requirements must be verified before the client sets an exit date?</w:t>
      </w:r>
    </w:p>
    <w:p>
      <w:pPr>
        <w:pStyle w:val="Heading1"/>
      </w:pPr>
      <w:r>
        <w:rPr>
          <w:b w:val="0"/>
        </w:rPr>
        <w:t>Preliminary Position</w:t>
      </w:r>
    </w:p>
    <w:p>
      <w:pPr>
        <w:ind w:right="4154"/>
      </w:pPr>
      <w:r>
        <w:rPr>
          <w:b w:val="0"/>
        </w:rPr>
        <w:t>The file is incomplete. The team should obtain the executed agreement, amendments and delivery record before recording a notice deadline or sending an exit communication. This example does not reach a legal conclusion.</w:t>
      </w:r>
    </w:p>
    <w:p>
      <w:pPr>
        <w:pStyle w:val="Heading1"/>
      </w:pPr>
      <w:r>
        <w:rPr>
          <w:b w:val="0"/>
        </w:rPr>
        <w:t>Working Chronology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986"/>
        <w:gridCol w:w="4809"/>
        <w:gridCol w:w="3659"/>
      </w:tblGrid>
      <w:tr>
        <w:trPr>
          <w:cantSplit/>
          <w:tblHeader/>
        </w:trPr>
        <w:tc>
          <w:tcPr>
            <w:tcW w:type="dxa" w:w="1986"/>
            <w:shd w:fill="63305D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20"/>
              </w:rPr>
              <w:t>Date</w:t>
            </w:r>
          </w:p>
        </w:tc>
        <w:tc>
          <w:tcPr>
            <w:tcW w:type="dxa" w:w="4809"/>
            <w:shd w:fill="63305D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20"/>
              </w:rPr>
              <w:t>Recorded event</w:t>
            </w:r>
          </w:p>
        </w:tc>
        <w:tc>
          <w:tcPr>
            <w:tcW w:type="dxa" w:w="3659"/>
            <w:shd w:fill="63305D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20"/>
              </w:rPr>
              <w:t>Evidence</w:t>
            </w:r>
          </w:p>
        </w:tc>
      </w:tr>
      <w:tr>
        <w:trPr>
          <w:cantSplit/>
        </w:trPr>
        <w:tc>
          <w:tcPr>
            <w:tcW w:type="dxa" w:w="1986"/>
            <w:shd w:fill="F0F2F6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20"/>
              </w:rPr>
              <w:t>3 February</w:t>
            </w:r>
          </w:p>
        </w:tc>
        <w:tc>
          <w:tcPr>
            <w:tcW w:type="dxa" w:w="4809"/>
            <w:shd w:fill="F0F2F6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20"/>
              </w:rPr>
              <w:t>Services began</w:t>
            </w:r>
          </w:p>
        </w:tc>
        <w:tc>
          <w:tcPr>
            <w:tcW w:type="dxa" w:w="3659"/>
            <w:shd w:fill="F0F2F6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20"/>
              </w:rPr>
              <w:t>Onboarding email, file E-01</w:t>
            </w:r>
          </w:p>
        </w:tc>
      </w:tr>
      <w:tr>
        <w:trPr>
          <w:cantSplit/>
        </w:trPr>
        <w:tc>
          <w:tcPr>
            <w:tcW w:type="dxa" w:w="1986"/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20"/>
              </w:rPr>
              <w:t>7 May</w:t>
            </w:r>
          </w:p>
        </w:tc>
        <w:tc>
          <w:tcPr>
            <w:tcW w:type="dxa" w:w="4809"/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20"/>
              </w:rPr>
              <w:t>Client reported delayed handover</w:t>
            </w:r>
          </w:p>
        </w:tc>
        <w:tc>
          <w:tcPr>
            <w:tcW w:type="dxa" w:w="3659"/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20"/>
              </w:rPr>
              <w:t>Support ticket, file E-02</w:t>
            </w:r>
          </w:p>
        </w:tc>
      </w:tr>
      <w:tr>
        <w:trPr>
          <w:cantSplit/>
        </w:trPr>
        <w:tc>
          <w:tcPr>
            <w:tcW w:type="dxa" w:w="1986"/>
            <w:shd w:fill="F0F2F6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20"/>
              </w:rPr>
              <w:t>15 June</w:t>
            </w:r>
          </w:p>
        </w:tc>
        <w:tc>
          <w:tcPr>
            <w:tcW w:type="dxa" w:w="4809"/>
            <w:shd w:fill="F0F2F6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20"/>
              </w:rPr>
              <w:t>Operations requested exit options</w:t>
            </w:r>
          </w:p>
        </w:tc>
        <w:tc>
          <w:tcPr>
            <w:tcW w:type="dxa" w:w="3659"/>
            <w:shd w:fill="F0F2F6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20"/>
              </w:rPr>
              <w:t>Internal instruction, file E-03</w:t>
            </w:r>
          </w:p>
        </w:tc>
      </w:tr>
    </w:tbl>
    <w:p>
      <w:pPr>
        <w:spacing w:after="0" w:before="0" w:line="60" w:lineRule="exact"/>
      </w:pPr>
      <w:r>
        <w:rPr>
          <w:sz w:val="6"/>
        </w:rPr>
      </w:r>
    </w:p>
    <w:p>
      <w:pPr>
        <w:pStyle w:val="Heading1"/>
      </w:pPr>
      <w:r>
        <w:rPr>
          <w:b w:val="0"/>
        </w:rPr>
        <w:t>Facts Still to Establish</w:t>
      </w:r>
    </w:p>
    <w:p>
      <w:pPr>
        <w:pStyle w:val="ListBullet"/>
      </w:pPr>
      <w:r>
        <w:rPr>
          <w:b w:val="0"/>
        </w:rPr>
        <w:t>Which signed terms govern, and have they been amended?</w:t>
      </w:r>
    </w:p>
    <w:p>
      <w:pPr>
        <w:pStyle w:val="ListBullet"/>
      </w:pPr>
      <w:r>
        <w:rPr>
          <w:b w:val="0"/>
        </w:rPr>
        <w:t>Who is authorized to give and receive notice, and by which method?</w:t>
      </w:r>
    </w:p>
    <w:p>
      <w:pPr>
        <w:pStyle w:val="ListBullet"/>
      </w:pPr>
      <w:r>
        <w:rPr>
          <w:b w:val="0"/>
        </w:rPr>
        <w:t>What client data or work product is held by the supplier?</w:t>
      </w:r>
    </w:p>
    <w:p>
      <w:pPr>
        <w:ind w:right="4154"/>
      </w:pPr>
      <w:r>
        <w:rPr>
          <w:b w:val="0"/>
        </w:rPr>
      </w:r>
      <w:r>
        <w:rPr>
          <w:b/>
          <w:color w:val="63305D"/>
        </w:rPr>
        <w:t>Evidence</w:t>
      </w:r>
      <w:r>
        <w:rPr>
          <w:b w:val="0"/>
        </w:rPr>
        <w:t xml:space="preserve"> status: the chronology above is </w:t>
      </w:r>
      <w:r>
        <w:rPr>
          <w:b/>
          <w:color w:val="63305D"/>
        </w:rPr>
        <w:t>fictional</w:t>
      </w:r>
      <w:r>
        <w:rPr>
          <w:b w:val="0"/>
        </w:rPr>
        <w:t xml:space="preserve"> sample material. Replace each reference with the actual retained source.</w:t>
      </w:r>
    </w:p>
    <w:p>
      <w:r>
        <w:br w:type="page"/>
      </w:r>
    </w:p>
    <w:p>
      <w:r>
        <w:rPr>
          <w:b/>
          <w:color w:val="63305D"/>
          <w:sz w:val="16"/>
        </w:rPr>
        <w:t>MATTER 27-014   /   02</w:t>
      </w:r>
    </w:p>
    <w:p>
      <w:pPr>
        <w:pStyle w:val="Title"/>
      </w:pPr>
      <w:r>
        <w:t>Analysis and Review Plan</w:t>
      </w:r>
    </w:p>
    <w:p>
      <w:pPr>
        <w:pStyle w:val="Heading1"/>
      </w:pPr>
      <w:r>
        <w:rPr>
          <w:b w:val="0"/>
        </w:rPr>
        <w:t>Contract and Authority Matrix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091"/>
        <w:gridCol w:w="3868"/>
        <w:gridCol w:w="4495"/>
      </w:tblGrid>
      <w:tr>
        <w:trPr>
          <w:cantSplit/>
          <w:tblHeader/>
        </w:trPr>
        <w:tc>
          <w:tcPr>
            <w:tcW w:type="dxa" w:w="2091"/>
            <w:shd w:fill="63305D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20"/>
              </w:rPr>
              <w:t>Issue</w:t>
            </w:r>
          </w:p>
        </w:tc>
        <w:tc>
          <w:tcPr>
            <w:tcW w:type="dxa" w:w="3868"/>
            <w:shd w:fill="63305D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20"/>
              </w:rPr>
              <w:t>Source to verify</w:t>
            </w:r>
          </w:p>
        </w:tc>
        <w:tc>
          <w:tcPr>
            <w:tcW w:type="dxa" w:w="4495"/>
            <w:shd w:fill="63305D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20"/>
              </w:rPr>
              <w:t>Analysis to complete</w:t>
            </w:r>
          </w:p>
        </w:tc>
      </w:tr>
      <w:tr>
        <w:trPr>
          <w:cantSplit/>
        </w:trPr>
        <w:tc>
          <w:tcPr>
            <w:tcW w:type="dxa" w:w="2091"/>
            <w:shd w:fill="F0F2F6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20"/>
              </w:rPr>
              <w:t>Notice</w:t>
            </w:r>
          </w:p>
        </w:tc>
        <w:tc>
          <w:tcPr>
            <w:tcW w:type="dxa" w:w="3868"/>
            <w:shd w:fill="F0F2F6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20"/>
              </w:rPr>
              <w:t>Executed agreement and amendments</w:t>
            </w:r>
          </w:p>
        </w:tc>
        <w:tc>
          <w:tcPr>
            <w:tcW w:type="dxa" w:w="4495"/>
            <w:shd w:fill="F0F2F6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20"/>
              </w:rPr>
              <w:t>Trigger, period, recipient and delivery method</w:t>
            </w:r>
          </w:p>
        </w:tc>
      </w:tr>
      <w:tr>
        <w:trPr>
          <w:cantSplit/>
        </w:trPr>
        <w:tc>
          <w:tcPr>
            <w:tcW w:type="dxa" w:w="2091"/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20"/>
              </w:rPr>
              <w:t>Transition</w:t>
            </w:r>
          </w:p>
        </w:tc>
        <w:tc>
          <w:tcPr>
            <w:tcW w:type="dxa" w:w="3868"/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20"/>
              </w:rPr>
              <w:t>Exit and assistance provisions</w:t>
            </w:r>
          </w:p>
        </w:tc>
        <w:tc>
          <w:tcPr>
            <w:tcW w:type="dxa" w:w="4495"/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20"/>
              </w:rPr>
              <w:t>Services, duration, fees and dependencies</w:t>
            </w:r>
          </w:p>
        </w:tc>
      </w:tr>
      <w:tr>
        <w:trPr>
          <w:cantSplit/>
        </w:trPr>
        <w:tc>
          <w:tcPr>
            <w:tcW w:type="dxa" w:w="2091"/>
            <w:shd w:fill="F0F2F6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20"/>
              </w:rPr>
              <w:t>Data return</w:t>
            </w:r>
          </w:p>
        </w:tc>
        <w:tc>
          <w:tcPr>
            <w:tcW w:type="dxa" w:w="3868"/>
            <w:shd w:fill="F0F2F6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20"/>
              </w:rPr>
              <w:t>Data processing terms</w:t>
            </w:r>
          </w:p>
        </w:tc>
        <w:tc>
          <w:tcPr>
            <w:tcW w:type="dxa" w:w="4495"/>
            <w:shd w:fill="F0F2F6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20"/>
              </w:rPr>
              <w:t>Format, retention and deletion obligations</w:t>
            </w:r>
          </w:p>
        </w:tc>
      </w:tr>
      <w:tr>
        <w:trPr>
          <w:cantSplit/>
        </w:trPr>
        <w:tc>
          <w:tcPr>
            <w:tcW w:type="dxa" w:w="2091"/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20"/>
              </w:rPr>
              <w:t>Governing law</w:t>
            </w:r>
          </w:p>
        </w:tc>
        <w:tc>
          <w:tcPr>
            <w:tcW w:type="dxa" w:w="3868"/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20"/>
              </w:rPr>
              <w:t>Agreement and current authorities</w:t>
            </w:r>
          </w:p>
        </w:tc>
        <w:tc>
          <w:tcPr>
            <w:tcW w:type="dxa" w:w="4495"/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20"/>
              </w:rPr>
              <w:t>Insert verified jurisdiction-specific research</w:t>
            </w:r>
          </w:p>
        </w:tc>
      </w:tr>
    </w:tbl>
    <w:p>
      <w:pPr>
        <w:spacing w:after="0" w:before="0" w:line="60" w:lineRule="exact"/>
      </w:pPr>
      <w:r>
        <w:rPr>
          <w:sz w:val="6"/>
        </w:rPr>
      </w:r>
    </w:p>
    <w:p>
      <w:pPr>
        <w:pStyle w:val="Heading1"/>
      </w:pPr>
      <w:r>
        <w:rPr>
          <w:b w:val="0"/>
        </w:rPr>
        <w:t>Competing Considerations</w:t>
      </w:r>
    </w:p>
    <w:p>
      <w:pPr>
        <w:ind w:right="4154"/>
      </w:pPr>
      <w:r>
        <w:rPr>
          <w:b w:val="0"/>
        </w:rPr>
        <w:t>Operations wants a short transition; the technology team needs time to validate exports. Counsel should assess the verified terms against both needs and identify any required approvals or unresolved questions.</w:t>
      </w:r>
    </w:p>
    <w:p>
      <w:pPr>
        <w:pStyle w:val="Heading1"/>
      </w:pPr>
      <w:r>
        <w:rPr>
          <w:b w:val="0"/>
        </w:rPr>
        <w:t xml:space="preserve">Requested </w:t>
      </w:r>
      <w:r>
        <w:rPr>
          <w:b/>
          <w:color w:val="63305D"/>
        </w:rPr>
        <w:t>Evidence</w:t>
      </w:r>
      <w:r>
        <w:rPr>
          <w:b w:val="0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cantSplit/>
          <w:tblHeader/>
        </w:trPr>
        <w:tc>
          <w:tcPr>
            <w:tcW w:type="dxa" w:w="3485"/>
            <w:shd w:fill="63305D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20"/>
              </w:rPr>
              <w:t>Item</w:t>
            </w:r>
          </w:p>
        </w:tc>
        <w:tc>
          <w:tcPr>
            <w:tcW w:type="dxa" w:w="3485"/>
            <w:shd w:fill="63305D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20"/>
              </w:rPr>
              <w:t>Owner</w:t>
            </w:r>
          </w:p>
        </w:tc>
        <w:tc>
          <w:tcPr>
            <w:tcW w:type="dxa" w:w="3485"/>
            <w:shd w:fill="63305D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20"/>
              </w:rPr>
              <w:t>Target</w:t>
            </w:r>
          </w:p>
        </w:tc>
      </w:tr>
      <w:tr>
        <w:trPr>
          <w:cantSplit/>
        </w:trPr>
        <w:tc>
          <w:tcPr>
            <w:tcW w:type="dxa" w:w="3485"/>
            <w:shd w:fill="F0F2F6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20"/>
              </w:rPr>
              <w:t>Executed agreement and amendments</w:t>
            </w:r>
          </w:p>
        </w:tc>
        <w:tc>
          <w:tcPr>
            <w:tcW w:type="dxa" w:w="3485"/>
            <w:shd w:fill="F0F2F6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20"/>
              </w:rPr>
              <w:t>Procurement</w:t>
            </w:r>
          </w:p>
        </w:tc>
        <w:tc>
          <w:tcPr>
            <w:tcW w:type="dxa" w:w="3485"/>
            <w:shd w:fill="F0F2F6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20"/>
              </w:rPr>
              <w:t>21 June</w:t>
            </w:r>
          </w:p>
        </w:tc>
      </w:tr>
      <w:tr>
        <w:trPr>
          <w:cantSplit/>
        </w:trPr>
        <w:tc>
          <w:tcPr>
            <w:tcW w:type="dxa" w:w="3485"/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20"/>
              </w:rPr>
              <w:t>Service and notice correspondence</w:t>
            </w:r>
          </w:p>
        </w:tc>
        <w:tc>
          <w:tcPr>
            <w:tcW w:type="dxa" w:w="3485"/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20"/>
              </w:rPr>
              <w:t>Operations</w:t>
            </w:r>
          </w:p>
        </w:tc>
        <w:tc>
          <w:tcPr>
            <w:tcW w:type="dxa" w:w="3485"/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20"/>
              </w:rPr>
              <w:t>21 June</w:t>
            </w:r>
          </w:p>
        </w:tc>
      </w:tr>
      <w:tr>
        <w:trPr>
          <w:cantSplit/>
        </w:trPr>
        <w:tc>
          <w:tcPr>
            <w:tcW w:type="dxa" w:w="3485"/>
            <w:shd w:fill="F0F2F6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20"/>
              </w:rPr>
              <w:t>Data inventory and export test</w:t>
            </w:r>
          </w:p>
        </w:tc>
        <w:tc>
          <w:tcPr>
            <w:tcW w:type="dxa" w:w="3485"/>
            <w:shd w:fill="F0F2F6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20"/>
              </w:rPr>
              <w:t>Technology</w:t>
            </w:r>
          </w:p>
        </w:tc>
        <w:tc>
          <w:tcPr>
            <w:tcW w:type="dxa" w:w="3485"/>
            <w:shd w:fill="F0F2F6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20"/>
              </w:rPr>
              <w:t>23 June</w:t>
            </w:r>
          </w:p>
        </w:tc>
      </w:tr>
    </w:tbl>
    <w:p>
      <w:pPr>
        <w:spacing w:after="0" w:before="0" w:line="60" w:lineRule="exact"/>
      </w:pPr>
      <w:r>
        <w:rPr>
          <w:sz w:val="6"/>
        </w:rPr>
      </w:r>
    </w:p>
    <w:p>
      <w:pPr>
        <w:pStyle w:val="Heading1"/>
      </w:pPr>
      <w:r>
        <w:rPr>
          <w:b w:val="0"/>
        </w:rPr>
        <w:t>Recorded Disposition</w:t>
      </w:r>
    </w:p>
    <w:p>
      <w:pPr>
        <w:ind w:right="4154"/>
      </w:pPr>
      <w:r>
        <w:rPr>
          <w:b w:val="0"/>
        </w:rPr>
        <w:t xml:space="preserve">Avery Kim will collect the signed agreement and delivery </w:t>
      </w:r>
      <w:r>
        <w:rPr>
          <w:b/>
          <w:color w:val="63305D"/>
        </w:rPr>
        <w:t>evidence</w:t>
      </w:r>
      <w:r>
        <w:rPr>
          <w:b w:val="0"/>
        </w:rPr>
        <w:t xml:space="preserve"> by 24 June. Counsel has not </w:t>
      </w:r>
      <w:r>
        <w:rPr>
          <w:b/>
          <w:color w:val="63305D"/>
        </w:rPr>
        <w:t>approved</w:t>
      </w:r>
      <w:r>
        <w:rPr>
          <w:b w:val="0"/>
        </w:rPr>
        <w:t xml:space="preserve"> an exit date or a notice. The sample deliberately preserves that uncertainty.</w:t>
      </w:r>
    </w:p>
    <w:p>
      <w:pPr>
        <w:shd w:fill="F1EDF6"/>
        <w:spacing w:before="120" w:after="160"/>
        <w:ind w:right="4154"/>
      </w:pPr>
      <w:r>
        <w:rPr>
          <w:b/>
          <w:color w:val="63305D"/>
          <w:sz w:val="18"/>
        </w:rPr>
        <w:t>REVIEW BOUNDARY</w:t>
        <w:br/>
      </w:r>
      <w:r>
        <w:rPr>
          <w:b w:val="0"/>
        </w:rPr>
        <w:t xml:space="preserve">A polished chronology is not proof of the underlying record. Each event remains tagged by </w:t>
      </w:r>
      <w:r>
        <w:rPr>
          <w:b/>
          <w:color w:val="63305D"/>
        </w:rPr>
        <w:t>evidence</w:t>
      </w:r>
      <w:r>
        <w:rPr>
          <w:b w:val="0"/>
        </w:rPr>
        <w:t xml:space="preserve"> status; no jurisdiction-specific conclusion is supplied.</w:t>
      </w:r>
    </w:p>
    <w:p>
      <w:pPr>
        <w:spacing w:before="140"/>
        <w:ind w:right="4154"/>
      </w:pPr>
      <w:r>
        <w:rPr>
          <w:i/>
          <w:color w:val="505968"/>
          <w:sz w:val="16"/>
        </w:rPr>
        <w:t>Design notes: Evidence status, careful typography and review boundaries. Original Dazzler template, Apache-2.0. All sample facts are fictional.</w:t>
      </w:r>
    </w:p>
    <w:sectPr w:rsidR="00FC693F" w:rsidRPr="0006063C" w:rsidSect="00034616">
      <w:footerReference w:type="default" r:id="rId9"/>
      <w:pgSz w:w="12240" w:h="15840"/>
      <w:pgMar w:top="749" w:right="893" w:bottom="749" w:left="89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b w:val="0"/>
        <w:sz w:val="16"/>
      </w:rPr>
    </w:r>
    <w:r>
      <w:rPr>
        <w:b/>
        <w:color w:val="63305D"/>
        <w:sz w:val="16"/>
      </w:rPr>
      <w:t>FICTIONAL</w:t>
    </w:r>
    <w:r>
      <w:rPr>
        <w:b w:val="0"/>
        <w:sz w:val="16"/>
      </w:rPr>
      <w:t xml:space="preserve"> EXAMPLE  /  LEGAL   •   Dazzler   / 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64" w:lineRule="auto"/>
    </w:pPr>
    <w:rPr>
      <w:rFonts w:ascii="Georgia" w:hAnsi="Georgia"/>
      <w:color w:val="172033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80" w:after="140" w:line="264" w:lineRule="auto"/>
      <w:outlineLvl w:val="0"/>
    </w:pPr>
    <w:rPr>
      <w:rFonts w:cstheme="majorBidi" w:ascii="Georgia" w:hAnsi="Georgia"/>
      <w:b w:val="0"/>
      <w:bCs/>
      <w:color w:val="63305D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40" w:line="264" w:lineRule="auto"/>
      <w:outlineLvl w:val="1"/>
    </w:pPr>
    <w:rPr>
      <w:rFonts w:cstheme="majorBidi" w:ascii="Georgia" w:hAnsi="Georgia"/>
      <w:b/>
      <w:bCs/>
      <w:color w:val="172033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140" w:line="264" w:lineRule="auto"/>
      <w:contextualSpacing/>
    </w:pPr>
    <w:rPr>
      <w:rFonts w:cstheme="majorBidi" w:ascii="Georgia" w:hAnsi="Georgia"/>
      <w:b w:val="0"/>
      <w:color w:val="63305D"/>
      <w:spacing w:val="5"/>
      <w:kern w:val="28"/>
      <w:sz w:val="6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140" w:line="264" w:lineRule="auto"/>
    </w:pPr>
    <w:rPr>
      <w:rFonts w:cstheme="majorBidi" w:ascii="Georgia" w:hAnsi="Georgia"/>
      <w:i/>
      <w:iCs/>
      <w:color w:val="172033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140" w:line="264" w:lineRule="auto"/>
      <w:contextualSpacing/>
    </w:pPr>
    <w:rPr>
      <w:rFonts w:ascii="Georgia" w:hAnsi="Georgia"/>
      <w:color w:val="172033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cstheme="majorBidi"/>
        <w:b/>
        <w:bCs/>
      </w:rPr>
    </w:tblStylePr>
    <w:tblStylePr w:type="lastCol">
      <w:rPr>
        <w:rFonts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cstheme="majorBidi"/>
        <w:b/>
        <w:bCs/>
      </w:rPr>
    </w:tblStylePr>
    <w:tblStylePr w:type="lastCol">
      <w:rPr>
        <w:rFonts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cstheme="majorBidi"/>
        <w:b/>
        <w:bCs/>
      </w:rPr>
    </w:tblStylePr>
    <w:tblStylePr w:type="lastCol">
      <w:rPr>
        <w:rFonts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cstheme="majorBidi"/>
        <w:b/>
        <w:bCs/>
      </w:rPr>
    </w:tblStylePr>
    <w:tblStylePr w:type="lastCol">
      <w:rPr>
        <w:rFonts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cstheme="majorBidi"/>
        <w:b/>
        <w:bCs/>
      </w:rPr>
    </w:tblStylePr>
    <w:tblStylePr w:type="lastCol">
      <w:rPr>
        <w:rFonts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cstheme="majorBidi"/>
        <w:b/>
        <w:bCs/>
      </w:rPr>
    </w:tblStylePr>
    <w:tblStylePr w:type="lastCol">
      <w:rPr>
        <w:rFonts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cstheme="majorBidi"/>
        <w:b/>
        <w:bCs/>
      </w:rPr>
    </w:tblStylePr>
    <w:tblStylePr w:type="lastCol">
      <w:rPr>
        <w:rFonts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Supplier Exit Review</dc:title>
  <dc:subject>Legal matter memo with chronology, evidence gaps and an authority research matrix</dc:subject>
  <dc:creator>Dazzler / Jon Gosier</dc:creator>
  <cp:keywords/>
  <dc:description>generated by python-docx</dc:description>
  <cp:lastModifiedBy/>
  <cp:revision>1</cp:revision>
  <dcterms:created xsi:type="dcterms:W3CDTF">2026-09-28T00:00:00Z</dcterms:created>
  <dcterms:modified xsi:type="dcterms:W3CDTF">2026-09-28T00:00:00Z</dcterms:modified>
  <cp:category/>
</cp:coreProperties>
</file>