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05666"/>
          <w:sz w:val="18"/>
        </w:rPr>
        <w:t>PLATFORM ENGINEERING  /  1</w:t>
      </w:r>
    </w:p>
    <w:p>
      <w:pPr>
        <w:pStyle w:val="Title"/>
      </w:pPr>
      <w:r>
        <w:t>Order status webhook delivery</w:t>
      </w:r>
    </w:p>
    <w:p>
      <w:pPr>
        <w:pStyle w:val="Subtitle"/>
      </w:pPr>
      <w:r>
        <w:t>Technical design • RFC 014 • Proposed</w:t>
      </w:r>
    </w:p>
    <w:p>
      <w:pPr/>
      <w:r>
        <w:t>Owner: Alex Rivera    Reviewers: API + Reliability    Updated: 18 June 2027</w:t>
      </w:r>
    </w:p>
    <w:p>
      <w:pPr>
        <w:spacing w:before="160" w:after="200"/>
        <w:shd w:fill="EAF3F5"/>
      </w:pPr>
      <w:r>
        <w:rPr>
          <w:b/>
        </w:rPr>
        <w:t>DESIGN DECISION</w:t>
        <w:br/>
      </w:r>
      <w:r>
        <w:t>Deliver order status events asynchronously with at-least-once delivery. Consumers deduplicate on event_id; the service does not promise exactly-once processing.</w:t>
      </w:r>
    </w:p>
    <w:p>
      <w:pPr>
        <w:pStyle w:val="Heading1"/>
      </w:pPr>
      <w:r>
        <w:t>Context and boundaries</w:t>
      </w:r>
    </w:p>
    <w:p>
      <w:pPr/>
      <w:r>
        <w:t>Partners currently poll for order updates. This design adds signed event delivery to registered HTTPS endpoints. It excludes partner endpoint provisioning, historical backfills and delivery to arbitrary customer-supplied URLs.</w:t>
      </w:r>
    </w:p>
    <w:p>
      <w:pPr>
        <w:pStyle w:val="Heading1"/>
      </w:pPr>
      <w:r>
        <w:t>Delivery path</w:t>
      </w:r>
    </w:p>
    <w:p>
      <w:pPr/>
      <w:r>
        <w:t>Order transaction → transactional outbox → delivery queue → worker → registered partner endpoint. A delivery record stores each attempt and its result.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710"/>
      </w:tblGrid>
      <w:tr>
        <w:trPr>
          <w:cantSplit/>
          <w:tblHeader/>
        </w:trPr>
        <w:tc>
          <w:tcPr>
            <w:tcW w:type="dxa" w:w="3456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6710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Design response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No lost committed events</w:t>
            </w:r>
          </w:p>
        </w:tc>
        <w:tc>
          <w:tcPr>
            <w:tcW w:type="dxa" w:w="671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Write the outbox record in the order transaction</w:t>
            </w:r>
          </w:p>
        </w:tc>
      </w:tr>
      <w:tr>
        <w:trPr>
          <w:cantSplit/>
        </w:trPr>
        <w:tc>
          <w:tcPr>
            <w:tcW w:type="dxa" w:w="3456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Duplicate-safe processing</w:t>
            </w:r>
          </w:p>
        </w:tc>
        <w:tc>
          <w:tcPr>
            <w:tcW w:type="dxa" w:w="6710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Keep event_id stable across retries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Endpoint authenticity</w:t>
            </w:r>
          </w:p>
        </w:tc>
        <w:tc>
          <w:tcPr>
            <w:tcW w:type="dxa" w:w="671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Sign the raw request body with the partner secret</w:t>
            </w:r>
          </w:p>
        </w:tc>
      </w:tr>
      <w:tr>
        <w:trPr>
          <w:cantSplit/>
        </w:trPr>
        <w:tc>
          <w:tcPr>
            <w:tcW w:type="dxa" w:w="3456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Failure isolation</w:t>
            </w:r>
          </w:p>
        </w:tc>
        <w:tc>
          <w:tcPr>
            <w:tcW w:type="dxa" w:w="6710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Separate per-partner concurrency and delivery limits</w:t>
            </w:r>
          </w:p>
        </w:tc>
      </w:tr>
    </w:tbl>
    <w:p>
      <w:pPr>
        <w:spacing w:after="0"/>
      </w:pPr>
    </w:p>
    <w:p>
      <w:pPr>
        <w:pStyle w:val="Heading1"/>
      </w:pPr>
      <w:r>
        <w:t>Event example</w:t>
      </w:r>
    </w:p>
    <w:p>
      <w:r>
        <w:rPr>
          <w:rFonts w:ascii="Consolas" w:hAnsi="Consolas"/>
          <w:sz w:val="18"/>
        </w:rPr>
        <w:t>{</w:t>
        <w:br/>
        <w:t xml:space="preserve">  "event_id": "evt_demo_0042",</w:t>
        <w:br/>
        <w:t xml:space="preserve">  "type": "order.shipped",</w:t>
        <w:br/>
        <w:t xml:space="preserve">  "occurred_at": "2027-06-18T14:05:00Z",</w:t>
        <w:br/>
        <w:t xml:space="preserve">  "data": {"order_id": "ord_demo_108", "status": "shipped"}</w:t>
        <w:br/>
        <w:t>}</w:t>
      </w:r>
    </w:p>
    <w:p>
      <w:pPr/>
      <w:r>
        <w:t>The identifiers and payload are illustrative. No credentials or customer information are included.</w:t>
      </w:r>
    </w:p>
    <w:p>
      <w:r>
        <w:br w:type="page"/>
      </w:r>
    </w:p>
    <w:p>
      <w:r>
        <w:rPr>
          <w:b/>
          <w:color w:val="305666"/>
          <w:sz w:val="18"/>
        </w:rPr>
        <w:t>PLATFORM ENGINEERING  /  2</w:t>
      </w:r>
    </w:p>
    <w:p>
      <w:pPr>
        <w:pStyle w:val="Title"/>
      </w:pPr>
      <w:r>
        <w:t>Failures and release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51"/>
        <w:gridCol w:w="7015"/>
      </w:tblGrid>
      <w:tr>
        <w:trPr>
          <w:cantSplit/>
          <w:tblHeader/>
        </w:trPr>
        <w:tc>
          <w:tcPr>
            <w:tcW w:type="dxa" w:w="3151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7015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Worker behavior</w:t>
            </w:r>
          </w:p>
        </w:tc>
      </w:tr>
      <w:tr>
        <w:trPr>
          <w:cantSplit/>
        </w:trPr>
        <w:tc>
          <w:tcPr>
            <w:tcW w:type="dxa" w:w="315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2xx</w:t>
            </w:r>
          </w:p>
        </w:tc>
        <w:tc>
          <w:tcPr>
            <w:tcW w:type="dxa" w:w="701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Mark delivered; retain attempt metadata</w:t>
            </w:r>
          </w:p>
        </w:tc>
      </w:tr>
      <w:tr>
        <w:trPr>
          <w:cantSplit/>
        </w:trPr>
        <w:tc>
          <w:tcPr>
            <w:tcW w:type="dxa" w:w="3151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408, 429 or 5xx</w:t>
            </w:r>
          </w:p>
        </w:tc>
        <w:tc>
          <w:tcPr>
            <w:tcW w:type="dxa" w:w="7015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Retry with bounded exponential backoff and jitter</w:t>
            </w:r>
          </w:p>
        </w:tc>
      </w:tr>
      <w:tr>
        <w:trPr>
          <w:cantSplit/>
        </w:trPr>
        <w:tc>
          <w:tcPr>
            <w:tcW w:type="dxa" w:w="315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Other 4xx</w:t>
            </w:r>
          </w:p>
        </w:tc>
        <w:tc>
          <w:tcPr>
            <w:tcW w:type="dxa" w:w="701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Stop retrying; flag configuration review</w:t>
            </w:r>
          </w:p>
        </w:tc>
      </w:tr>
      <w:tr>
        <w:trPr>
          <w:cantSplit/>
        </w:trPr>
        <w:tc>
          <w:tcPr>
            <w:tcW w:type="dxa" w:w="3151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Timeout after 10 seconds</w:t>
            </w:r>
          </w:p>
        </w:tc>
        <w:tc>
          <w:tcPr>
            <w:tcW w:type="dxa" w:w="7015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Treat as unknown outcome; retry with the same event_id</w:t>
            </w:r>
          </w:p>
        </w:tc>
      </w:tr>
    </w:tbl>
    <w:p>
      <w:pPr>
        <w:spacing w:after="0"/>
      </w:pPr>
    </w:p>
    <w:p>
      <w:pPr>
        <w:pStyle w:val="Heading1"/>
      </w:pPr>
      <w:r>
        <w:t>Retry and security boundaries</w:t>
      </w:r>
    </w:p>
    <w:p>
      <w:pPr/>
      <w:r>
        <w:t>Limit delivery to six attempts within 24 hours. Revalidate registered destinations and block private network targets. Rotate secrets through the existing credential service; never put secrets in event payloads or logs.</w:t>
      </w:r>
    </w:p>
    <w:p>
      <w:pPr>
        <w:pStyle w:val="Heading1"/>
      </w:pPr>
      <w:r>
        <w:t>Acceptance checks</w:t>
      </w:r>
    </w:p>
    <w:p>
      <w:pPr>
        <w:pStyle w:val="ListBullet"/>
      </w:pPr>
      <w:r>
        <w:t>A committed order change creates one durable outbox record.</w:t>
      </w:r>
    </w:p>
    <w:p>
      <w:pPr>
        <w:pStyle w:val="ListBullet"/>
      </w:pPr>
      <w:r>
        <w:t>A worker restart preserves pending events and stable event IDs.</w:t>
      </w:r>
    </w:p>
    <w:p>
      <w:pPr>
        <w:pStyle w:val="ListBullet"/>
      </w:pPr>
      <w:r>
        <w:t>A duplicate event is harmless in the reference consumer.</w:t>
      </w:r>
    </w:p>
    <w:p>
      <w:pPr>
        <w:pStyle w:val="ListBullet"/>
      </w:pPr>
      <w:r>
        <w:t>A failing partner endpoint does not delay healthy partners.</w:t>
      </w:r>
    </w:p>
    <w:p>
      <w:pPr>
        <w:pStyle w:val="Heading1"/>
      </w:pPr>
      <w:r>
        <w:t>Rollout and rollback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51"/>
        <w:gridCol w:w="7015"/>
      </w:tblGrid>
      <w:tr>
        <w:trPr>
          <w:cantSplit/>
          <w:tblHeader/>
        </w:trPr>
        <w:tc>
          <w:tcPr>
            <w:tcW w:type="dxa" w:w="3151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type="dxa" w:w="7015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Gate</w:t>
            </w:r>
          </w:p>
        </w:tc>
      </w:tr>
      <w:tr>
        <w:trPr>
          <w:cantSplit/>
        </w:trPr>
        <w:tc>
          <w:tcPr>
            <w:tcW w:type="dxa" w:w="315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Internal endpoint</w:t>
            </w:r>
          </w:p>
        </w:tc>
        <w:tc>
          <w:tcPr>
            <w:tcW w:type="dxa" w:w="701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Replay fixtures; test timeouts and invalid signatures</w:t>
            </w:r>
          </w:p>
        </w:tc>
      </w:tr>
      <w:tr>
        <w:trPr>
          <w:cantSplit/>
        </w:trPr>
        <w:tc>
          <w:tcPr>
            <w:tcW w:type="dxa" w:w="3151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Two pilot partners</w:t>
            </w:r>
          </w:p>
        </w:tc>
        <w:tc>
          <w:tcPr>
            <w:tcW w:type="dxa" w:w="7015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Review delivery latency and retry rate for 48 hours</w:t>
            </w:r>
          </w:p>
        </w:tc>
      </w:tr>
      <w:tr>
        <w:trPr>
          <w:cantSplit/>
        </w:trPr>
        <w:tc>
          <w:tcPr>
            <w:tcW w:type="dxa" w:w="315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General enablement</w:t>
            </w:r>
          </w:p>
        </w:tc>
        <w:tc>
          <w:tcPr>
            <w:tcW w:type="dxa" w:w="701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Expand gradually after operational sign-off</w:t>
            </w:r>
          </w:p>
        </w:tc>
      </w:tr>
      <w:tr>
        <w:trPr>
          <w:cantSplit/>
        </w:trPr>
        <w:tc>
          <w:tcPr>
            <w:tcW w:type="dxa" w:w="3151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Rollback</w:t>
            </w:r>
          </w:p>
        </w:tc>
        <w:tc>
          <w:tcPr>
            <w:tcW w:type="dxa" w:w="7015"/>
            <w:shd w:fill="EAF3F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Stop new dispatch; preserve queue and outbox for replay</w:t>
            </w:r>
          </w:p>
        </w:tc>
      </w:tr>
    </w:tbl>
    <w:p>
      <w:pPr>
        <w:spacing w:after="0"/>
      </w:pPr>
    </w:p>
    <w:p>
      <w:pPr>
        <w:pStyle w:val="Heading1"/>
      </w:pPr>
      <w:r>
        <w:t>Operational ownership</w:t>
      </w:r>
    </w:p>
    <w:p>
      <w:pPr/>
      <w:r>
        <w:t>Reliability owns alerts for oldest pending event age and repeated partner failures. API owns the payload contract and versioning. Thresholds must be set from pilot measurements before general enablement.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technical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status webhook delivery</dc:title>
  <dc:subject>Technical RFC with delivery guarantees, payload, failure handling, tests and rollout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