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93E28"/>
          <w:sz w:val="18"/>
        </w:rPr>
        <w:t>CREATIVE BRIEF 04  /  1</w:t>
      </w:r>
    </w:p>
    <w:p>
      <w:pPr>
        <w:pStyle w:val="Title"/>
      </w:pPr>
      <w:r>
        <w:t>Make the first visit easy</w:t>
      </w:r>
    </w:p>
    <w:p>
      <w:pPr>
        <w:pStyle w:val="Subtitle"/>
      </w:pPr>
      <w:r>
        <w:t>Campaign brief • Juniper neighborhood launch</w:t>
      </w:r>
    </w:p>
    <w:p>
      <w:pPr/>
      <w:r>
        <w:t>Owner: Lena Ortiz    Campaign: 1–31 July 2027    Review: 18 June 2027</w:t>
      </w:r>
    </w:p>
    <w:p>
      <w:pPr>
        <w:spacing w:before="160" w:after="200"/>
        <w:shd w:fill="FFF0E9"/>
      </w:pPr>
      <w:r>
        <w:rPr>
          <w:b/>
        </w:rPr>
        <w:t>PRIMARY OBJECTIVE</w:t>
        <w:br/>
      </w:r>
      <w:r>
        <w:t>Generate 120 qualified reservation inquiries during the launch month. This is a sample target, not a forecast or an achieved result.</w:t>
      </w:r>
    </w:p>
    <w:p>
      <w:pPr>
        <w:pStyle w:val="Heading1"/>
      </w:pPr>
      <w:r>
        <w:t>Who we are speaking to</w:t>
      </w:r>
    </w:p>
    <w:p>
      <w:pPr/>
      <w:r>
        <w:t>People living or working within the local neighborhood who want a relaxed place for a midweek dinner. They need to understand the menu, typical spend and how to book before deciding.</w:t>
      </w:r>
    </w:p>
    <w:p>
      <w:pPr>
        <w:pStyle w:val="Heading1"/>
      </w:pPr>
      <w:r>
        <w:t>Message and response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/>
        </w:trPr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Main message</w:t>
            </w:r>
          </w:p>
        </w:tc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Supporting content</w:t>
            </w:r>
          </w:p>
        </w:tc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Call to action</w:t>
            </w:r>
          </w:p>
        </w:tc>
      </w:tr>
      <w:tr>
        <w:trPr>
          <w:cantSplit/>
        </w:trPr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 seasonal dinner close to home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Menu highlights, room details, service hours and booking instructions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View the menu and request a table</w:t>
            </w:r>
          </w:p>
        </w:tc>
      </w:tr>
    </w:tbl>
    <w:p>
      <w:pPr>
        <w:spacing w:after="0"/>
      </w:pPr>
    </w:p>
    <w:p>
      <w:pPr>
        <w:pStyle w:val="Heading1"/>
      </w:pPr>
      <w:r>
        <w:t>Creative direction</w:t>
      </w:r>
    </w:p>
    <w:p>
      <w:pPr/>
      <w:r>
        <w:t>Warm food-led photography, short ingredient descriptions and readable menu typography. Show the actual space when photographs are supplied. Avoid invented reviews, awards or claims about local sourcing.</w:t>
      </w:r>
    </w:p>
    <w:p>
      <w:pPr>
        <w:pStyle w:val="Heading1"/>
      </w:pPr>
      <w:r>
        <w:t>Required information</w:t>
      </w:r>
    </w:p>
    <w:p>
      <w:pPr>
        <w:pStyle w:val="ListBullet"/>
      </w:pPr>
      <w:r>
        <w:t>Approved menu and prices; service dates and hours.</w:t>
      </w:r>
    </w:p>
    <w:p>
      <w:pPr>
        <w:pStyle w:val="ListBullet"/>
      </w:pPr>
      <w:r>
        <w:t>A clear booking route and accurate location information.</w:t>
      </w:r>
    </w:p>
    <w:p>
      <w:pPr>
        <w:pStyle w:val="ListBullet"/>
      </w:pPr>
      <w:r>
        <w:t>Confirmed dietary and accessibility guidance from the operator.</w:t>
      </w:r>
    </w:p>
    <w:p>
      <w:pPr>
        <w:pStyle w:val="Heading1"/>
      </w:pPr>
      <w:r>
        <w:t>Approval route</w:t>
      </w:r>
    </w:p>
    <w:p>
      <w:pPr/>
      <w:r>
        <w:t>Chef reviews menu descriptions. Operations confirms hours and booking information. Campaign owner approves final copy before publication.</w:t>
      </w:r>
    </w:p>
    <w:p>
      <w:r>
        <w:br w:type="page"/>
      </w:r>
    </w:p>
    <w:p>
      <w:r>
        <w:rPr>
          <w:b/>
          <w:color w:val="993E28"/>
          <w:sz w:val="18"/>
        </w:rPr>
        <w:t>CREATIVE BRIEF 04  /  2</w:t>
      </w:r>
    </w:p>
    <w:p>
      <w:pPr>
        <w:pStyle w:val="Title"/>
      </w:pPr>
      <w:r>
        <w:t>Channels and measurement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38"/>
        <w:gridCol w:w="5693"/>
        <w:gridCol w:w="2135"/>
      </w:tblGrid>
      <w:tr>
        <w:trPr>
          <w:cantSplit/>
          <w:tblHeader/>
        </w:trPr>
        <w:tc>
          <w:tcPr>
            <w:tcW w:type="dxa" w:w="2338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Channel</w:t>
            </w:r>
          </w:p>
        </w:tc>
        <w:tc>
          <w:tcPr>
            <w:tcW w:type="dxa" w:w="5693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Asset and purpose</w:t>
            </w:r>
          </w:p>
        </w:tc>
        <w:tc>
          <w:tcPr>
            <w:tcW w:type="dxa" w:w="2135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Budget USD</w:t>
            </w:r>
          </w:p>
        </w:tc>
      </w:tr>
      <w:tr>
        <w:trPr>
          <w:cantSplit/>
        </w:trPr>
        <w:tc>
          <w:tcPr>
            <w:tcW w:type="dxa" w:w="2338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Local social</w:t>
            </w:r>
          </w:p>
        </w:tc>
        <w:tc>
          <w:tcPr>
            <w:tcW w:type="dxa" w:w="569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Three short edits leading to the menu</w:t>
            </w:r>
          </w:p>
        </w:tc>
        <w:tc>
          <w:tcPr>
            <w:tcW w:type="dxa" w:w="2135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$1,200</w:t>
            </w:r>
          </w:p>
        </w:tc>
      </w:tr>
      <w:tr>
        <w:trPr>
          <w:cantSplit/>
        </w:trPr>
        <w:tc>
          <w:tcPr>
            <w:tcW w:type="dxa" w:w="2338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Search</w:t>
            </w:r>
          </w:p>
        </w:tc>
        <w:tc>
          <w:tcPr>
            <w:tcW w:type="dxa" w:w="5693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Intent-led booking queries</w:t>
            </w:r>
          </w:p>
        </w:tc>
        <w:tc>
          <w:tcPr>
            <w:tcW w:type="dxa" w:w="2135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$600</w:t>
            </w:r>
          </w:p>
        </w:tc>
      </w:tr>
      <w:tr>
        <w:trPr>
          <w:cantSplit/>
        </w:trPr>
        <w:tc>
          <w:tcPr>
            <w:tcW w:type="dxa" w:w="2338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Print</w:t>
            </w:r>
          </w:p>
        </w:tc>
        <w:tc>
          <w:tcPr>
            <w:tcW w:type="dxa" w:w="569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Neighborhood cards with a trackable link</w:t>
            </w:r>
          </w:p>
        </w:tc>
        <w:tc>
          <w:tcPr>
            <w:tcW w:type="dxa" w:w="2135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$300</w:t>
            </w:r>
          </w:p>
        </w:tc>
      </w:tr>
      <w:tr>
        <w:trPr>
          <w:cantSplit/>
        </w:trPr>
        <w:tc>
          <w:tcPr>
            <w:tcW w:type="dxa" w:w="2338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Production</w:t>
            </w:r>
          </w:p>
        </w:tc>
        <w:tc>
          <w:tcPr>
            <w:tcW w:type="dxa" w:w="5693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Photography and copy adaptation</w:t>
            </w:r>
          </w:p>
        </w:tc>
        <w:tc>
          <w:tcPr>
            <w:tcW w:type="dxa" w:w="2135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$900</w:t>
            </w:r>
          </w:p>
        </w:tc>
      </w:tr>
      <w:tr>
        <w:trPr>
          <w:cantSplit/>
        </w:trPr>
        <w:tc>
          <w:tcPr>
            <w:tcW w:type="dxa" w:w="2338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Total</w:t>
            </w:r>
          </w:p>
        </w:tc>
        <w:tc>
          <w:tcPr>
            <w:tcW w:type="dxa" w:w="569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Illustrative allocation</w:t>
            </w:r>
          </w:p>
        </w:tc>
        <w:tc>
          <w:tcPr>
            <w:tcW w:type="dxa" w:w="2135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$3,000</w:t>
            </w:r>
          </w:p>
        </w:tc>
      </w:tr>
    </w:tbl>
    <w:p>
      <w:pPr>
        <w:spacing w:after="0"/>
      </w:pPr>
    </w:p>
    <w:p>
      <w:pPr>
        <w:pStyle w:val="Heading1"/>
      </w:pPr>
      <w:r>
        <w:t>Production schedule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/>
        </w:trPr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Delivery</w:t>
            </w:r>
          </w:p>
        </w:tc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Approver</w:t>
            </w:r>
          </w:p>
        </w:tc>
      </w:tr>
      <w:tr>
        <w:trPr>
          <w:cantSplit/>
        </w:trPr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22 June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Menu and message approved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Chef + operations</w:t>
            </w:r>
          </w:p>
        </w:tc>
      </w:tr>
      <w:tr>
        <w:trPr>
          <w:cantSplit/>
        </w:trPr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25 June</w:t>
            </w:r>
          </w:p>
        </w:tc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Photography and copy ready</w:t>
            </w:r>
          </w:p>
        </w:tc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Campaign owner</w:t>
            </w:r>
          </w:p>
        </w:tc>
      </w:tr>
      <w:tr>
        <w:trPr>
          <w:cantSplit/>
        </w:trPr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28 June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Tracking and booking checks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Web owner</w:t>
            </w:r>
          </w:p>
        </w:tc>
      </w:tr>
      <w:tr>
        <w:trPr>
          <w:cantSplit/>
        </w:trPr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1 July</w:t>
            </w:r>
          </w:p>
        </w:tc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Campaign begins</w:t>
            </w:r>
          </w:p>
        </w:tc>
        <w:tc>
          <w:tcPr>
            <w:tcW w:type="dxa" w:w="3389"/>
            <w:shd w:fill="FFF0E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Campaign owner</w:t>
            </w:r>
          </w:p>
        </w:tc>
      </w:tr>
    </w:tbl>
    <w:p>
      <w:pPr>
        <w:spacing w:after="0"/>
      </w:pPr>
    </w:p>
    <w:p>
      <w:pPr>
        <w:pStyle w:val="Heading1"/>
      </w:pPr>
      <w:r>
        <w:t>Measurement plan</w:t>
      </w:r>
    </w:p>
    <w:p>
      <w:pPr/>
      <w:r>
        <w:t>Track menu visits, reservation inquiry starts and completed inquiries separately. Use distinct campaign links. Report weekly inquiry counts and spend; do not treat a click as a booking.</w:t>
      </w:r>
    </w:p>
    <w:p>
      <w:pPr>
        <w:pStyle w:val="Heading1"/>
      </w:pPr>
      <w:r>
        <w:t>Decision after week one</w:t>
      </w:r>
    </w:p>
    <w:p>
      <w:pPr/>
      <w:r>
        <w:t>If people reach the menu but abandon the inquiry form, inspect the form before increasing spend. Record changes so performance can be interpreted against the correct version.</w:t>
      </w:r>
    </w:p>
    <w:p>
      <w:pPr/>
      <w:r>
        <w:t>Replace the fictional restaurant, budget, targets and dates with approved campaign details.</w:t>
      </w:r>
    </w:p>
    <w:sectPr w:rsidR="00FC693F" w:rsidRPr="0006063C" w:rsidSect="00034616">
      <w:footerReference w:type="default" r:id="rId9"/>
      <w:pgSz w:w="12240" w:h="15840"/>
      <w:pgMar w:top="864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Dazzler sample template • marketing • Replace fictional details before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9" w:lineRule="auto"/>
      <w:contextualSpacing/>
    </w:pPr>
    <w:rPr>
      <w:rFonts w:cstheme="majorBidi" w:ascii="Arial" w:hAnsi="Arial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9" w:lineRule="auto" w:after="120"/>
    </w:pPr>
    <w:rPr>
      <w:rFonts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59" w:lineRule="auto" w:after="120"/>
      <w:contextualSpacing/>
    </w:pPr>
    <w:rPr>
      <w:rFonts w:ascii="Arial" w:hAnsi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 the first visit easy</dc:title>
  <dc:subject>Campaign brief with audience, message, channel budget, production details and measurement</dc:subject>
  <dc:creator>Dazzler / Jon Gosier</dc:creator>
  <cp:keywords/>
  <dc:description>Fictional worked template. Replace sample details. Apache-2.0.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