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353F87"/>
          <w:sz w:val="18"/>
        </w:rPr>
        <w:t>ALDER STUDIO  /  1</w:t>
      </w:r>
    </w:p>
    <w:p>
      <w:pPr>
        <w:pStyle w:val="Title"/>
      </w:pPr>
      <w:r>
        <w:t>Approve the onboarding pilot</w:t>
      </w:r>
    </w:p>
    <w:p>
      <w:pPr>
        <w:pStyle w:val="Subtitle"/>
      </w:pPr>
      <w:r>
        <w:t>Decision brief • Leadership review • 18 June 2027</w:t>
      </w:r>
    </w:p>
    <w:p>
      <w:pPr>
        <w:spacing w:before="160" w:after="200"/>
        <w:shd w:fill="EDEFFC"/>
      </w:pPr>
      <w:r>
        <w:rPr>
          <w:b/>
        </w:rPr>
        <w:t>THE ASK</w:t>
        <w:br/>
      </w:r>
      <w:r>
        <w:t>Approve a four-week pilot for 20 new customers, with a USD 6,000 spend limit and a named customer-success owner.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43"/>
        <w:gridCol w:w="4680"/>
        <w:gridCol w:w="4543"/>
      </w:tblGrid>
      <w:tr>
        <w:trPr>
          <w:cantSplit/>
          <w:tblHeader/>
        </w:trPr>
        <w:tc>
          <w:tcPr>
            <w:tcW w:type="dxa" w:w="4543"/>
            <w:shd w:fill="EDEFFC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/>
                <w:sz w:val="18"/>
              </w:rPr>
              <w:t>Observed friction</w:t>
            </w:r>
          </w:p>
        </w:tc>
        <w:tc>
          <w:tcPr>
            <w:tcW w:type="dxa" w:w="4680"/>
            <w:shd w:fill="EDEFFC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/>
                <w:sz w:val="18"/>
              </w:rPr>
              <w:t>Proposed change</w:t>
            </w:r>
          </w:p>
        </w:tc>
        <w:tc>
          <w:tcPr>
            <w:tcW w:type="dxa" w:w="4543"/>
            <w:shd w:fill="EDEFFC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/>
                <w:sz w:val="18"/>
              </w:rPr>
              <w:t>Decision today</w:t>
            </w:r>
          </w:p>
        </w:tc>
      </w:tr>
      <w:tr>
        <w:trPr>
          <w:cantSplit/>
        </w:trPr>
        <w:tc>
          <w:tcPr>
            <w:tcW w:type="dxa" w:w="4543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Setup instructions span three emails</w:t>
            </w:r>
          </w:p>
        </w:tc>
        <w:tc>
          <w:tcPr>
            <w:tcW w:type="dxa" w:w="4680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One checklist and one welcome sequence</w:t>
            </w:r>
          </w:p>
        </w:tc>
        <w:tc>
          <w:tcPr>
            <w:tcW w:type="dxa" w:w="4543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Authorize the pilot and owner</w:t>
            </w:r>
          </w:p>
        </w:tc>
      </w:tr>
    </w:tbl>
    <w:p>
      <w:pPr>
        <w:spacing w:after="0"/>
      </w:pPr>
    </w:p>
    <w:p>
      <w:pPr>
        <w:pStyle w:val="Heading1"/>
      </w:pPr>
      <w:r>
        <w:t>Why this is worth testing</w:t>
      </w:r>
    </w:p>
    <w:p>
      <w:pPr/>
      <w:r>
        <w:t>The pilot will test whether customers can finish setup with fewer support handoffs. It is an experiment with a defined end date, not a commitment to a full rollout.</w:t>
      </w:r>
    </w:p>
    <w:p>
      <w:pPr/>
      <w:r>
        <w:t>Presenter note: open with the decision, then explain what the team will learn. All figures and organizations in this brief are illustrative.</w:t>
      </w:r>
    </w:p>
    <w:p>
      <w:r>
        <w:br w:type="page"/>
      </w:r>
    </w:p>
    <w:p>
      <w:r>
        <w:rPr>
          <w:b/>
          <w:color w:val="353F87"/>
          <w:sz w:val="18"/>
        </w:rPr>
        <w:t>ALDER STUDIO  /  2</w:t>
      </w:r>
    </w:p>
    <w:p>
      <w:pPr>
        <w:pStyle w:val="Title"/>
      </w:pPr>
      <w:r>
        <w:t>Compare the options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04"/>
        <w:gridCol w:w="5231"/>
        <w:gridCol w:w="5231"/>
      </w:tblGrid>
      <w:tr>
        <w:trPr>
          <w:cantSplit/>
          <w:tblHeader/>
        </w:trPr>
        <w:tc>
          <w:tcPr>
            <w:tcW w:type="dxa" w:w="3304"/>
            <w:shd w:fill="EDEFFC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/>
                <w:sz w:val="18"/>
              </w:rPr>
              <w:t>Option</w:t>
            </w:r>
          </w:p>
        </w:tc>
        <w:tc>
          <w:tcPr>
            <w:tcW w:type="dxa" w:w="5231"/>
            <w:shd w:fill="EDEFFC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/>
                <w:sz w:val="18"/>
              </w:rPr>
              <w:t>Benefit</w:t>
            </w:r>
          </w:p>
        </w:tc>
        <w:tc>
          <w:tcPr>
            <w:tcW w:type="dxa" w:w="5231"/>
            <w:shd w:fill="EDEFFC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/>
                <w:sz w:val="18"/>
              </w:rPr>
              <w:t>Trade-off</w:t>
            </w:r>
          </w:p>
        </w:tc>
      </w:tr>
      <w:tr>
        <w:trPr>
          <w:cantSplit/>
        </w:trPr>
        <w:tc>
          <w:tcPr>
            <w:tcW w:type="dxa" w:w="3304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Keep the current process</w:t>
            </w:r>
          </w:p>
        </w:tc>
        <w:tc>
          <w:tcPr>
            <w:tcW w:type="dxa" w:w="5231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No near-term delivery cost</w:t>
            </w:r>
          </w:p>
        </w:tc>
        <w:tc>
          <w:tcPr>
            <w:tcW w:type="dxa" w:w="5231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Existing handoffs remain</w:t>
            </w:r>
          </w:p>
        </w:tc>
      </w:tr>
      <w:tr>
        <w:trPr>
          <w:cantSplit/>
        </w:trPr>
        <w:tc>
          <w:tcPr>
            <w:tcW w:type="dxa" w:w="3304"/>
            <w:shd w:fill="EDEFFC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Pilot with 20 customers</w:t>
            </w:r>
          </w:p>
        </w:tc>
        <w:tc>
          <w:tcPr>
            <w:tcW w:type="dxa" w:w="5231"/>
            <w:shd w:fill="EDEFFC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Tests the approach before a broad change</w:t>
            </w:r>
          </w:p>
        </w:tc>
        <w:tc>
          <w:tcPr>
            <w:tcW w:type="dxa" w:w="5231"/>
            <w:shd w:fill="EDEFFC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Requires four weeks and a dedicated owner</w:t>
            </w:r>
          </w:p>
        </w:tc>
      </w:tr>
      <w:tr>
        <w:trPr>
          <w:cantSplit/>
        </w:trPr>
        <w:tc>
          <w:tcPr>
            <w:tcW w:type="dxa" w:w="3304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Rebuild immediately</w:t>
            </w:r>
          </w:p>
        </w:tc>
        <w:tc>
          <w:tcPr>
            <w:tcW w:type="dxa" w:w="5231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Moves directly to a single experience</w:t>
            </w:r>
          </w:p>
        </w:tc>
        <w:tc>
          <w:tcPr>
            <w:tcW w:type="dxa" w:w="5231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Commits more resources before learning</w:t>
            </w:r>
          </w:p>
        </w:tc>
      </w:tr>
    </w:tbl>
    <w:p>
      <w:pPr>
        <w:spacing w:after="0"/>
      </w:pPr>
    </w:p>
    <w:p>
      <w:pPr>
        <w:pStyle w:val="Heading1"/>
      </w:pPr>
      <w:r>
        <w:t>Recommended option</w:t>
      </w:r>
    </w:p>
    <w:p>
      <w:pPr/>
      <w:r>
        <w:t>Run the limited pilot. Use the current system, rewrite the welcome sequence and add one checklist; defer any platform migration.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89"/>
        <w:gridCol w:w="4589"/>
        <w:gridCol w:w="4589"/>
      </w:tblGrid>
      <w:tr>
        <w:trPr>
          <w:cantSplit/>
          <w:tblHeader/>
        </w:trPr>
        <w:tc>
          <w:tcPr>
            <w:tcW w:type="dxa" w:w="4589"/>
            <w:shd w:fill="EDEFFC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/>
                <w:sz w:val="18"/>
              </w:rPr>
              <w:t>Measure</w:t>
            </w:r>
          </w:p>
        </w:tc>
        <w:tc>
          <w:tcPr>
            <w:tcW w:type="dxa" w:w="4589"/>
            <w:shd w:fill="EDEFFC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/>
                <w:sz w:val="18"/>
              </w:rPr>
              <w:t>Pilot target</w:t>
            </w:r>
          </w:p>
        </w:tc>
        <w:tc>
          <w:tcPr>
            <w:tcW w:type="dxa" w:w="4589"/>
            <w:shd w:fill="EDEFFC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/>
                <w:sz w:val="18"/>
              </w:rPr>
              <w:t>Source</w:t>
            </w:r>
          </w:p>
        </w:tc>
      </w:tr>
      <w:tr>
        <w:trPr>
          <w:cantSplit/>
        </w:trPr>
        <w:tc>
          <w:tcPr>
            <w:tcW w:type="dxa" w:w="4589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Setup completed within 7 days</w:t>
            </w:r>
          </w:p>
        </w:tc>
        <w:tc>
          <w:tcPr>
            <w:tcW w:type="dxa" w:w="4589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At least 16 of 20 participants</w:t>
            </w:r>
          </w:p>
        </w:tc>
        <w:tc>
          <w:tcPr>
            <w:tcW w:type="dxa" w:w="4589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Checklist event log</w:t>
            </w:r>
          </w:p>
        </w:tc>
      </w:tr>
      <w:tr>
        <w:trPr>
          <w:cantSplit/>
        </w:trPr>
        <w:tc>
          <w:tcPr>
            <w:tcW w:type="dxa" w:w="4589"/>
            <w:shd w:fill="EDEFFC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Support contacts in first week</w:t>
            </w:r>
          </w:p>
        </w:tc>
        <w:tc>
          <w:tcPr>
            <w:tcW w:type="dxa" w:w="4589"/>
            <w:shd w:fill="EDEFFC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Record per participant; compare with baseline</w:t>
            </w:r>
          </w:p>
        </w:tc>
        <w:tc>
          <w:tcPr>
            <w:tcW w:type="dxa" w:w="4589"/>
            <w:shd w:fill="EDEFFC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Support ticket report</w:t>
            </w:r>
          </w:p>
        </w:tc>
      </w:tr>
      <w:tr>
        <w:trPr>
          <w:cantSplit/>
        </w:trPr>
        <w:tc>
          <w:tcPr>
            <w:tcW w:type="dxa" w:w="4589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Serious account issues</w:t>
            </w:r>
          </w:p>
        </w:tc>
        <w:tc>
          <w:tcPr>
            <w:tcW w:type="dxa" w:w="4589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Zero unresolved at closeout</w:t>
            </w:r>
          </w:p>
        </w:tc>
        <w:tc>
          <w:tcPr>
            <w:tcW w:type="dxa" w:w="4589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Incident log</w:t>
            </w:r>
          </w:p>
        </w:tc>
      </w:tr>
    </w:tbl>
    <w:p>
      <w:pPr>
        <w:spacing w:after="0"/>
      </w:pPr>
    </w:p>
    <w:p>
      <w:pPr/>
      <w:r>
        <w:t>Presenter note: targets are proposed thresholds for this sample, not reported results.</w:t>
      </w:r>
    </w:p>
    <w:p>
      <w:r>
        <w:br w:type="page"/>
      </w:r>
    </w:p>
    <w:p>
      <w:r>
        <w:rPr>
          <w:b/>
          <w:color w:val="353F87"/>
          <w:sz w:val="18"/>
        </w:rPr>
        <w:t>ALDER STUDIO  /  3</w:t>
      </w:r>
    </w:p>
    <w:p>
      <w:pPr>
        <w:pStyle w:val="Title"/>
      </w:pPr>
      <w:r>
        <w:t>Make the next month measurable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89"/>
        <w:gridCol w:w="4589"/>
        <w:gridCol w:w="4589"/>
      </w:tblGrid>
      <w:tr>
        <w:trPr>
          <w:cantSplit/>
          <w:tblHeader/>
        </w:trPr>
        <w:tc>
          <w:tcPr>
            <w:tcW w:type="dxa" w:w="4589"/>
            <w:shd w:fill="EDEFFC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/>
                <w:sz w:val="18"/>
              </w:rPr>
              <w:t>Week</w:t>
            </w:r>
          </w:p>
        </w:tc>
        <w:tc>
          <w:tcPr>
            <w:tcW w:type="dxa" w:w="4589"/>
            <w:shd w:fill="EDEFFC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/>
                <w:sz w:val="18"/>
              </w:rPr>
              <w:t>Work</w:t>
            </w:r>
          </w:p>
        </w:tc>
        <w:tc>
          <w:tcPr>
            <w:tcW w:type="dxa" w:w="4589"/>
            <w:shd w:fill="EDEFFC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/>
                <w:sz w:val="18"/>
              </w:rPr>
              <w:t>Accountable owner</w:t>
            </w:r>
          </w:p>
        </w:tc>
      </w:tr>
      <w:tr>
        <w:trPr>
          <w:cantSplit/>
        </w:trPr>
        <w:tc>
          <w:tcPr>
            <w:tcW w:type="dxa" w:w="4589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589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Finalize copy and baseline measures</w:t>
            </w:r>
          </w:p>
        </w:tc>
        <w:tc>
          <w:tcPr>
            <w:tcW w:type="dxa" w:w="4589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Maya • Customer success</w:t>
            </w:r>
          </w:p>
        </w:tc>
      </w:tr>
      <w:tr>
        <w:trPr>
          <w:cantSplit/>
        </w:trPr>
        <w:tc>
          <w:tcPr>
            <w:tcW w:type="dxa" w:w="4589"/>
            <w:shd w:fill="EDEFFC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589"/>
            <w:shd w:fill="EDEFFC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Invite participants and start the pilot</w:t>
            </w:r>
          </w:p>
        </w:tc>
        <w:tc>
          <w:tcPr>
            <w:tcW w:type="dxa" w:w="4589"/>
            <w:shd w:fill="EDEFFC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Sam • Operations</w:t>
            </w:r>
          </w:p>
        </w:tc>
      </w:tr>
      <w:tr>
        <w:trPr>
          <w:cantSplit/>
        </w:trPr>
        <w:tc>
          <w:tcPr>
            <w:tcW w:type="dxa" w:w="4589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589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Review exceptions and fix copy gaps</w:t>
            </w:r>
          </w:p>
        </w:tc>
        <w:tc>
          <w:tcPr>
            <w:tcW w:type="dxa" w:w="4589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Alex • Product</w:t>
            </w:r>
          </w:p>
        </w:tc>
      </w:tr>
      <w:tr>
        <w:trPr>
          <w:cantSplit/>
        </w:trPr>
        <w:tc>
          <w:tcPr>
            <w:tcW w:type="dxa" w:w="4589"/>
            <w:shd w:fill="EDEFFC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589"/>
            <w:shd w:fill="EDEFFC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Report findings and recommend next step</w:t>
            </w:r>
          </w:p>
        </w:tc>
        <w:tc>
          <w:tcPr>
            <w:tcW w:type="dxa" w:w="4589"/>
            <w:shd w:fill="EDEFFC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/>
            </w:pPr>
            <w:r>
              <w:rPr>
                <w:b w:val="0"/>
                <w:sz w:val="18"/>
              </w:rPr>
              <w:t>Maya • Customer success</w:t>
            </w:r>
          </w:p>
        </w:tc>
      </w:tr>
    </w:tbl>
    <w:p>
      <w:pPr>
        <w:spacing w:after="0"/>
      </w:pPr>
    </w:p>
    <w:p>
      <w:pPr>
        <w:pStyle w:val="Heading1"/>
      </w:pPr>
      <w:r>
        <w:t>Guardrails</w:t>
      </w:r>
    </w:p>
    <w:p>
      <w:pPr>
        <w:pStyle w:val="ListBullet"/>
      </w:pPr>
      <w:r>
        <w:t>Pause new invitations if account access is affected.</w:t>
      </w:r>
    </w:p>
    <w:p>
      <w:pPr>
        <w:pStyle w:val="ListBullet"/>
      </w:pPr>
      <w:r>
        <w:t>Keep the existing onboarding path available during the test.</w:t>
      </w:r>
    </w:p>
    <w:p>
      <w:pPr>
        <w:pStyle w:val="ListBullet"/>
      </w:pPr>
      <w:r>
        <w:t>Do not expand the pilot without reviewing the final evidence.</w:t>
      </w:r>
    </w:p>
    <w:p>
      <w:pPr>
        <w:spacing w:before="160" w:after="200"/>
        <w:shd w:fill="EDEFFC"/>
      </w:pPr>
      <w:r>
        <w:rPr>
          <w:b/>
        </w:rPr>
        <w:t>RECORD THE DECISION</w:t>
        <w:br/>
      </w:r>
      <w:r>
        <w:t>Sponsor: [Name]    Outcome: [Approve / revise / decline]</w:t>
        <w:br/>
        <w:t>Owner confirmed: [Name]    Review meeting: [Date]</w:t>
      </w:r>
    </w:p>
    <w:sectPr w:rsidR="00FC693F" w:rsidRPr="0006063C" w:rsidSect="00034616">
      <w:footerReference w:type="default" r:id="rId9"/>
      <w:pgSz w:w="15840" w:h="12240" w:orient="landscape"/>
      <w:pgMar w:top="864" w:right="1037" w:bottom="864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Dazzler sample template • presentation • Replace fictional details before use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9" w:lineRule="auto" w:after="120"/>
    </w:pPr>
    <w:rPr>
      <w:rFonts w:ascii="Arial" w:hAnsi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259" w:lineRule="auto"/>
      <w:outlineLvl w:val="0"/>
    </w:pPr>
    <w:rPr>
      <w:rFonts w:cstheme="majorBidi" w:ascii="Arial" w:hAnsi="Arial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59" w:lineRule="auto"/>
      <w:outlineLvl w:val="1"/>
    </w:pPr>
    <w:rPr>
      <w:rFonts w:cstheme="majorBidi" w:ascii="Arial" w:hAnsi="Arial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59" w:lineRule="auto"/>
      <w:contextualSpacing/>
    </w:pPr>
    <w:rPr>
      <w:rFonts w:cstheme="majorBidi" w:ascii="Arial" w:hAnsi="Arial"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line="259" w:lineRule="auto" w:after="120"/>
    </w:pPr>
    <w:rPr>
      <w:rFonts w:cstheme="majorBidi" w:ascii="Arial" w:hAnsi="Arial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59" w:lineRule="auto" w:after="120"/>
      <w:contextualSpacing/>
    </w:pPr>
    <w:rPr>
      <w:rFonts w:ascii="Arial" w:hAnsi="Arial"/>
      <w:color w:val="000000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Approve the onboarding pilot</dc:title>
  <dc:subject>Three-page landscape decision presentation with evidence, options and an action plan</dc:subject>
  <dc:creator>Dazzler / Jon Gosier</dc:creator>
  <cp:keywords/>
  <dc:description>Fictional worked template. Replace sample details. Apache-2.0.</dc:description>
  <cp:lastModifiedBy/>
  <cp:revision>1</cp:revision>
  <dcterms:created xsi:type="dcterms:W3CDTF">2026-09-28T00:00:00Z</dcterms:created>
  <dcterms:modified xsi:type="dcterms:W3CDTF">2026-09-28T00:00:00Z</dcterms:modified>
  <cp:category/>
</cp:coreProperties>
</file>