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44D70"/>
          <w:sz w:val="18"/>
        </w:rPr>
        <w:t>DELIVERY OFFICE</w:t>
      </w:r>
    </w:p>
    <w:p>
      <w:pPr>
        <w:pStyle w:val="Title"/>
      </w:pPr>
      <w:r>
        <w:t>Customer portal launch</w:t>
      </w:r>
    </w:p>
    <w:p>
      <w:pPr>
        <w:pStyle w:val="Subtitle"/>
      </w:pPr>
      <w:r>
        <w:t>Weekly delivery report</w:t>
      </w:r>
    </w:p>
    <w:p>
      <w:pPr/>
      <w:r>
        <w:t>Reporting period  14–18 June 2027     •     Prepared by Maya Chen, Delivery Lead</w:t>
      </w:r>
    </w:p>
    <w:p>
      <w:pPr>
        <w:spacing w:before="160" w:after="200"/>
        <w:shd w:fill="EAF1F7"/>
      </w:pPr>
      <w:r>
        <w:rPr>
          <w:b/>
        </w:rPr>
        <w:t>AMBER — decision needed by 21 June</w:t>
        <w:br/>
      </w:r>
      <w:r>
        <w:t>The 12 July launch remains achievable. Identity integration is three days behind; approving a limited pilot keeps the public launch date intact.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  <w:tblHeader/>
        </w:trPr>
        <w:tc>
          <w:tcPr>
            <w:tcW w:type="dxa" w:w="3389"/>
            <w:shd w:fill="EAF1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Scope complete</w:t>
            </w:r>
          </w:p>
        </w:tc>
        <w:tc>
          <w:tcPr>
            <w:tcW w:type="dxa" w:w="3389"/>
            <w:shd w:fill="EAF1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Budget used</w:t>
            </w:r>
          </w:p>
        </w:tc>
        <w:tc>
          <w:tcPr>
            <w:tcW w:type="dxa" w:w="3389"/>
            <w:shd w:fill="EAF1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Next milestone</w:t>
            </w:r>
          </w:p>
        </w:tc>
      </w:tr>
      <w:tr>
        <w:trPr>
          <w:cantSplit/>
        </w:trPr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18 of 24 deliverables</w:t>
            </w:r>
          </w:p>
        </w:tc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USD 42,000 of 60,000</w:t>
            </w:r>
          </w:p>
        </w:tc>
        <w:tc>
          <w:tcPr>
            <w:tcW w:type="dxa" w:w="33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Pilot acceptance • 25 June</w:t>
            </w:r>
          </w:p>
        </w:tc>
      </w:tr>
    </w:tbl>
    <w:p>
      <w:pPr>
        <w:spacing w:after="0"/>
      </w:pPr>
    </w:p>
    <w:p>
      <w:pPr>
        <w:pStyle w:val="Heading1"/>
      </w:pPr>
      <w:r>
        <w:t>Delivery against the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41"/>
        <w:gridCol w:w="2033"/>
        <w:gridCol w:w="5591"/>
      </w:tblGrid>
      <w:tr>
        <w:trPr>
          <w:cantSplit/>
          <w:tblHeader/>
        </w:trPr>
        <w:tc>
          <w:tcPr>
            <w:tcW w:type="dxa" w:w="2541"/>
            <w:shd w:fill="EAF1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Workstream</w:t>
            </w:r>
          </w:p>
        </w:tc>
        <w:tc>
          <w:tcPr>
            <w:tcW w:type="dxa" w:w="2033"/>
            <w:shd w:fill="EAF1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Owner</w:t>
            </w:r>
          </w:p>
        </w:tc>
        <w:tc>
          <w:tcPr>
            <w:tcW w:type="dxa" w:w="5591"/>
            <w:shd w:fill="EAF1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Status and evidence</w:t>
            </w:r>
          </w:p>
        </w:tc>
      </w:tr>
      <w:tr>
        <w:trPr>
          <w:cantSplit/>
        </w:trPr>
        <w:tc>
          <w:tcPr>
            <w:tcW w:type="dxa" w:w="254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Account setup</w:t>
            </w:r>
          </w:p>
        </w:tc>
        <w:tc>
          <w:tcPr>
            <w:tcW w:type="dxa" w:w="2033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Alex Rivera</w:t>
            </w:r>
          </w:p>
        </w:tc>
        <w:tc>
          <w:tcPr>
            <w:tcW w:type="dxa" w:w="559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Complete • 24 acceptance checks passed</w:t>
            </w:r>
          </w:p>
        </w:tc>
      </w:tr>
      <w:tr>
        <w:trPr>
          <w:cantSplit/>
        </w:trPr>
        <w:tc>
          <w:tcPr>
            <w:tcW w:type="dxa" w:w="2541"/>
            <w:shd w:fill="EAF1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Invoice history</w:t>
            </w:r>
          </w:p>
        </w:tc>
        <w:tc>
          <w:tcPr>
            <w:tcW w:type="dxa" w:w="2033"/>
            <w:shd w:fill="EAF1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Sam Okafor</w:t>
            </w:r>
          </w:p>
        </w:tc>
        <w:tc>
          <w:tcPr>
            <w:tcW w:type="dxa" w:w="5591"/>
            <w:shd w:fill="EAF1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In review • finance sign-off due 21 June</w:t>
            </w:r>
          </w:p>
        </w:tc>
      </w:tr>
      <w:tr>
        <w:trPr>
          <w:cantSplit/>
        </w:trPr>
        <w:tc>
          <w:tcPr>
            <w:tcW w:type="dxa" w:w="254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Single sign-on</w:t>
            </w:r>
          </w:p>
        </w:tc>
        <w:tc>
          <w:tcPr>
            <w:tcW w:type="dxa" w:w="2033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Maya Chen</w:t>
            </w:r>
          </w:p>
        </w:tc>
        <w:tc>
          <w:tcPr>
            <w:tcW w:type="dxa" w:w="559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At risk • sandbox credentials still pending</w:t>
            </w:r>
          </w:p>
        </w:tc>
      </w:tr>
    </w:tbl>
    <w:p>
      <w:pPr>
        <w:spacing w:after="0"/>
      </w:pPr>
    </w:p>
    <w:p>
      <w:pPr>
        <w:pStyle w:val="Heading1"/>
      </w:pPr>
      <w:r>
        <w:t>Risks and response</w:t>
      </w:r>
    </w:p>
    <w:p>
      <w:pPr/>
      <w:r>
        <w:t>R-03 • Identity provider access. If credentials arrive after 22 June, the pilot will use password sign-in. Maya owns the fallback; security review is booked for 23 June.</w:t>
      </w:r>
    </w:p>
    <w:p>
      <w:pPr>
        <w:pStyle w:val="Heading1"/>
      </w:pPr>
      <w:r>
        <w:t>Decision for the sponsor</w:t>
      </w:r>
    </w:p>
    <w:p>
      <w:pPr/>
      <w:r>
        <w:t>Approve the 20-customer pilot with password sign-in, subject to security review. No additional budget is requested. Priya Shah to confirm by 21 June, 15:00.</w:t>
      </w:r>
    </w:p>
    <w:p>
      <w:pPr>
        <w:pStyle w:val="Heading1"/>
      </w:pPr>
      <w:r>
        <w:t>Next week</w:t>
      </w:r>
    </w:p>
    <w:p>
      <w:pPr>
        <w:pStyle w:val="ListBullet"/>
      </w:pPr>
      <w:r>
        <w:t>Finance: approve invoice totals and download wording by 21 June.</w:t>
      </w:r>
    </w:p>
    <w:p>
      <w:pPr>
        <w:pStyle w:val="ListBullet"/>
      </w:pPr>
      <w:r>
        <w:t>Engineering: complete pilot deployment and rollback rehearsal by 24 June.</w:t>
      </w:r>
    </w:p>
    <w:p>
      <w:pPr>
        <w:pStyle w:val="ListBullet"/>
      </w:pPr>
      <w:r>
        <w:t>Customer success: confirm pilot participants and support coverage by 25 June.</w:t>
      </w:r>
    </w:p>
    <w:sectPr w:rsidR="00FC693F" w:rsidRPr="0006063C" w:rsidSect="00034616">
      <w:footerReference w:type="default" r:id="rId9"/>
      <w:pgSz w:w="12240" w:h="15840"/>
      <w:pgMar w:top="864" w:right="1037" w:bottom="864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Dazzler sample template • professional • Replace fictional details before use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20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59" w:lineRule="auto"/>
      <w:outlineLvl w:val="0"/>
    </w:pPr>
    <w:rPr>
      <w:rFonts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59" w:lineRule="auto"/>
      <w:outlineLvl w:val="1"/>
    </w:pPr>
    <w:rPr>
      <w:rFonts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59" w:lineRule="auto"/>
      <w:contextualSpacing/>
    </w:pPr>
    <w:rPr>
      <w:rFonts w:cstheme="majorBidi" w:ascii="Arial" w:hAnsi="Arial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59" w:lineRule="auto" w:after="120"/>
    </w:pPr>
    <w:rPr>
      <w:rFonts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59" w:lineRule="auto" w:after="120"/>
      <w:contextualSpacing/>
    </w:pPr>
    <w:rPr>
      <w:rFonts w:ascii="Arial" w:hAnsi="Arial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portal launch</dc:title>
  <dc:subject>Weekly executive status report with decision, milestones, risks and ownership</dc:subject>
  <dc:creator>Dazzler / Jon Gosier</dc:creator>
  <cp:keywords/>
  <dc:description>Fictional worked template. Replace sample details. Apache-2.0.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