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140"/>
      </w:pPr>
      <w:r>
        <w:rPr>
          <w:rFonts w:ascii="Calibri" w:hAnsi="Calibri"/>
          <w:b/>
          <w:color w:val="2E6E9E"/>
          <w:sz w:val="21"/>
        </w:rPr>
        <w:t>MEDIA FINANCE CAPITAL &amp; RISK, EXPLAINED</w:t>
      </w:r>
    </w:p>
    <w:p>
      <w:pPr>
        <w:spacing w:after="120"/>
      </w:pPr>
      <w:r>
        <w:rPr>
          <w:rFonts w:ascii="Calibri" w:hAnsi="Calibri"/>
          <w:b/>
          <w:color w:val="173B5E"/>
          <w:sz w:val="51"/>
        </w:rPr>
        <w:t>The Media Finance Capital &amp; Risk Landscape</w:t>
      </w:r>
    </w:p>
    <w:p>
      <w:pPr>
        <w:spacing w:after="280"/>
      </w:pPr>
      <w:r>
        <w:rPr>
          <w:rFonts w:ascii="Calibri" w:hAnsi="Calibri"/>
          <w:i/>
          <w:color w:val="6A7785"/>
          <w:sz w:val="24"/>
        </w:rPr>
        <w:t>How banks, specialty financiers, insurers and completion guarantors differ in film and television finance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90" w:type="dxa"/>
              <w:start w:w="120" w:type="dxa"/>
              <w:bottom w:w="90" w:type="dxa"/>
              <w:end w:w="120" w:type="dxa"/>
            </w:tcMar>
            <w:vAlign w:val="center"/>
            <w:shd w:fill="EAF2F8"/>
          </w:tcPr>
          <w:p>
            <w:pPr>
              <w:spacing w:after="0" w:line="264" w:lineRule="auto"/>
            </w:pPr>
            <w:r>
              <w:rPr>
                <w:rFonts w:ascii="Calibri" w:hAnsi="Calibri"/>
                <w:b/>
                <w:color w:val="173B5E"/>
                <w:sz w:val="20"/>
              </w:rPr>
              <w:t xml:space="preserve">THE SHORT VERSION  </w:t>
            </w:r>
            <w:r>
              <w:rPr>
                <w:rFonts w:ascii="Calibri" w:hAnsi="Calibri"/>
                <w:color w:val="17212B"/>
                <w:sz w:val="20"/>
              </w:rPr>
              <w:t>Media finance is an ecosystem, not a single competitor list. Banks and private lenders supply capital. Production insurers transfer defined event risk. Completion guarantors underwrite whether a production can be finished and delivered and may fund overruns or repay protected capital under the executed guaranty. These roles can sit in the same transaction, but they are not substitutes. The right comparison begins with exposure, repayment source, legal control and the identity of the actual risk-bearing entity.</w:t>
            </w:r>
          </w:p>
        </w:tc>
      </w:tr>
    </w:tbl>
    <w:p>
      <w:pPr>
        <w:spacing w:after="40"/>
      </w:pPr>
    </w:p>
    <w:p>
      <w:pPr>
        <w:keepLines w:val="0"/>
        <w:spacing w:before="0" w:after="40" w:line="271" w:lineRule="auto"/>
      </w:pPr>
      <w:r>
        <w:rPr>
          <w:rFonts w:ascii="Calibri" w:hAnsi="Calibri"/>
          <w:b/>
          <w:color w:val="173B5E"/>
          <w:sz w:val="21"/>
        </w:rPr>
        <w:t xml:space="preserve">Scope and evidence standard. </w:t>
      </w:r>
      <w:r>
        <w:rPr>
          <w:rFonts w:ascii="Calibri" w:hAnsi="Calibri"/>
          <w:color w:val="17212B"/>
          <w:sz w:val="21"/>
        </w:rPr>
        <w:t>This guide maps publicly evidenced capabilities as of August 10, 2026. It is not a league table, capacity survey, credit opinion or statement of current pricing. Company websites are treated as capability claims; executed loan documents, policies, guaranties, endorsements and financial-strength information control any transaction.</w:t>
      </w:r>
    </w:p>
    <w:p>
      <w:pPr>
        <w:pStyle w:val="Heading1"/>
        <w:keepNext/>
        <w:pageBreakBefore w:val="0"/>
      </w:pPr>
      <w:r>
        <w:rPr>
          <w:rFonts w:ascii="Calibri" w:hAnsi="Calibri"/>
          <w:b/>
          <w:color w:val="173B5E"/>
          <w:sz w:val="34"/>
        </w:rPr>
        <w:t>1. Start with the role, not the logo</w:t>
      </w:r>
    </w:p>
    <w:p>
      <w:pPr>
        <w:keepLines w:val="0"/>
        <w:spacing w:before="0" w:after="120" w:line="271" w:lineRule="auto"/>
      </w:pPr>
      <w:r>
        <w:rPr>
          <w:rFonts w:ascii="Calibri" w:hAnsi="Calibri"/>
          <w:color w:val="17212B"/>
          <w:sz w:val="21"/>
        </w:rPr>
        <w:t>A recognizable institution may participate in media finance through several legally distinct channels. A bank may lend to a production company, arrange corporate debt for a studio, operate controlled accounts or provide foreign exchange. An asset manager may lend against a library, contractual cash flows or enterprise value. An insurer may cover cast, property, liability or interruption. A completion guarantor may monitor the production and stand behind delivery. Comparing these parties without first matching the risk creates false equivalence.</w:t>
      </w:r>
    </w:p>
    <w:tbl>
      <w:tblPr>
        <w:tblStyle w:val="TableGrid"/>
        <w:tblW w:type="dxa" w:w="9360"/>
        <w:tblLayout w:type="fixed"/>
        <w:tblLook w:firstColumn="1" w:firstRow="1" w:lastColumn="0" w:lastRow="0" w:noHBand="0" w:noVBand="1" w:val="04A0"/>
        <w:jc w:val="left"/>
        <w:tblInd w:w="120" w:type="dxa"/>
      </w:tblPr>
      <w:tblGrid>
        <w:gridCol w:w="1620"/>
        <w:gridCol w:w="2420"/>
        <w:gridCol w:w="2700"/>
        <w:gridCol w:w="2620"/>
      </w:tblGrid>
      <w:tr>
        <w:trPr>
          <w:cantSplit/>
          <w:tblHeader w:val="true"/>
          <w:cantSplit/>
        </w:trPr>
        <w:tc>
          <w:tcPr>
            <w:tcW w:type="dxa" w:w="1620"/>
            <w:tcMar>
              <w:top w:w="90" w:type="dxa"/>
              <w:start w:w="120" w:type="dxa"/>
              <w:bottom w:w="90" w:type="dxa"/>
              <w:end w:w="120" w:type="dxa"/>
            </w:tcMar>
            <w:vAlign w:val="center"/>
            <w:shd w:fill="173B5E"/>
          </w:tcPr>
          <w:p>
            <w:pPr>
              <w:spacing w:after="0" w:line="252" w:lineRule="auto"/>
              <w:jc w:val="center"/>
            </w:pPr>
            <w:r>
              <w:rPr>
                <w:rFonts w:ascii="Calibri" w:hAnsi="Calibri"/>
                <w:b/>
                <w:color w:val="FFFFFF"/>
                <w:sz w:val="16"/>
              </w:rPr>
              <w:t>Market role</w:t>
            </w:r>
          </w:p>
        </w:tc>
        <w:tc>
          <w:tcPr>
            <w:tcW w:type="dxa" w:w="2420"/>
            <w:tcMar>
              <w:top w:w="90" w:type="dxa"/>
              <w:start w:w="120" w:type="dxa"/>
              <w:bottom w:w="90" w:type="dxa"/>
              <w:end w:w="120" w:type="dxa"/>
            </w:tcMar>
            <w:vAlign w:val="center"/>
            <w:shd w:fill="173B5E"/>
          </w:tcPr>
          <w:p>
            <w:pPr>
              <w:spacing w:after="0" w:line="252" w:lineRule="auto"/>
              <w:jc w:val="center"/>
            </w:pPr>
            <w:r>
              <w:rPr>
                <w:rFonts w:ascii="Calibri" w:hAnsi="Calibri"/>
                <w:b/>
                <w:color w:val="FFFFFF"/>
                <w:sz w:val="16"/>
              </w:rPr>
              <w:t>Capital or promise provided</w:t>
            </w:r>
          </w:p>
        </w:tc>
        <w:tc>
          <w:tcPr>
            <w:tcW w:type="dxa" w:w="2700"/>
            <w:tcMar>
              <w:top w:w="90" w:type="dxa"/>
              <w:start w:w="120" w:type="dxa"/>
              <w:bottom w:w="90" w:type="dxa"/>
              <w:end w:w="120" w:type="dxa"/>
            </w:tcMar>
            <w:vAlign w:val="center"/>
            <w:shd w:fill="173B5E"/>
          </w:tcPr>
          <w:p>
            <w:pPr>
              <w:spacing w:after="0" w:line="252" w:lineRule="auto"/>
              <w:jc w:val="center"/>
            </w:pPr>
            <w:r>
              <w:rPr>
                <w:rFonts w:ascii="Calibri" w:hAnsi="Calibri"/>
                <w:b/>
                <w:color w:val="FFFFFF"/>
                <w:sz w:val="16"/>
              </w:rPr>
              <w:t>Primary risk addressed</w:t>
            </w:r>
          </w:p>
        </w:tc>
        <w:tc>
          <w:tcPr>
            <w:tcW w:type="dxa" w:w="2620"/>
            <w:tcMar>
              <w:top w:w="90" w:type="dxa"/>
              <w:start w:w="120" w:type="dxa"/>
              <w:bottom w:w="90" w:type="dxa"/>
              <w:end w:w="120" w:type="dxa"/>
            </w:tcMar>
            <w:vAlign w:val="center"/>
            <w:shd w:fill="173B5E"/>
          </w:tcPr>
          <w:p>
            <w:pPr>
              <w:spacing w:after="0" w:line="252" w:lineRule="auto"/>
              <w:jc w:val="center"/>
            </w:pPr>
            <w:r>
              <w:rPr>
                <w:rFonts w:ascii="Calibri" w:hAnsi="Calibri"/>
                <w:b/>
                <w:color w:val="FFFFFF"/>
                <w:sz w:val="16"/>
              </w:rPr>
              <w:t>What it does not automatically solve</w:t>
            </w:r>
          </w:p>
        </w:tc>
      </w:tr>
      <w:tr>
        <w:trPr>
          <w:cantSplit/>
        </w:trPr>
        <w:tc>
          <w:tcPr>
            <w:tcW w:type="dxa" w:w="1620"/>
            <w:tcMar>
              <w:top w:w="90" w:type="dxa"/>
              <w:start w:w="120" w:type="dxa"/>
              <w:bottom w:w="90" w:type="dxa"/>
              <w:end w:w="120" w:type="dxa"/>
            </w:tcMar>
            <w:vAlign w:val="center"/>
          </w:tcPr>
          <w:p>
            <w:pPr>
              <w:spacing w:after="0" w:line="252" w:lineRule="auto"/>
              <w:jc w:val="left"/>
            </w:pPr>
            <w:r>
              <w:rPr>
                <w:rFonts w:ascii="Calibri" w:hAnsi="Calibri"/>
                <w:b w:val="0"/>
                <w:color w:val="17212B"/>
                <w:sz w:val="16"/>
              </w:rPr>
              <w:t>Bank / senior lender</w:t>
            </w:r>
          </w:p>
        </w:tc>
        <w:tc>
          <w:tcPr>
            <w:tcW w:type="dxa" w:w="2420"/>
            <w:tcMar>
              <w:top w:w="90" w:type="dxa"/>
              <w:start w:w="120" w:type="dxa"/>
              <w:bottom w:w="90" w:type="dxa"/>
              <w:end w:w="120" w:type="dxa"/>
            </w:tcMar>
            <w:vAlign w:val="center"/>
          </w:tcPr>
          <w:p>
            <w:pPr>
              <w:spacing w:after="0" w:line="252" w:lineRule="auto"/>
              <w:jc w:val="left"/>
            </w:pPr>
            <w:r>
              <w:rPr>
                <w:rFonts w:ascii="Calibri" w:hAnsi="Calibri"/>
                <w:b w:val="0"/>
                <w:color w:val="17212B"/>
                <w:sz w:val="16"/>
              </w:rPr>
              <w:t>Loan, revolver, bridge or asset-backed facility</w:t>
            </w:r>
          </w:p>
        </w:tc>
        <w:tc>
          <w:tcPr>
            <w:tcW w:type="dxa" w:w="2700"/>
            <w:tcMar>
              <w:top w:w="90" w:type="dxa"/>
              <w:start w:w="120" w:type="dxa"/>
              <w:bottom w:w="90" w:type="dxa"/>
              <w:end w:w="120" w:type="dxa"/>
            </w:tcMar>
            <w:vAlign w:val="center"/>
          </w:tcPr>
          <w:p>
            <w:pPr>
              <w:spacing w:after="0" w:line="252" w:lineRule="auto"/>
              <w:jc w:val="left"/>
            </w:pPr>
            <w:r>
              <w:rPr>
                <w:rFonts w:ascii="Calibri" w:hAnsi="Calibri"/>
                <w:b w:val="0"/>
                <w:color w:val="17212B"/>
                <w:sz w:val="16"/>
              </w:rPr>
              <w:t>Timing mismatch and senior credit exposure</w:t>
            </w:r>
          </w:p>
        </w:tc>
        <w:tc>
          <w:tcPr>
            <w:tcW w:type="dxa" w:w="2620"/>
            <w:tcMar>
              <w:top w:w="90" w:type="dxa"/>
              <w:start w:w="120" w:type="dxa"/>
              <w:bottom w:w="90" w:type="dxa"/>
              <w:end w:w="120" w:type="dxa"/>
            </w:tcMar>
            <w:vAlign w:val="center"/>
          </w:tcPr>
          <w:p>
            <w:pPr>
              <w:spacing w:after="0" w:line="252" w:lineRule="auto"/>
              <w:jc w:val="left"/>
            </w:pPr>
            <w:r>
              <w:rPr>
                <w:rFonts w:ascii="Calibri" w:hAnsi="Calibri"/>
                <w:b w:val="0"/>
                <w:color w:val="17212B"/>
                <w:sz w:val="16"/>
              </w:rPr>
              <w:t>Production completion, insurer exclusions or commercial performance</w:t>
            </w:r>
          </w:p>
        </w:tc>
      </w:tr>
      <w:tr>
        <w:trPr>
          <w:cantSplit/>
        </w:trPr>
        <w:tc>
          <w:tcPr>
            <w:tcW w:type="dxa" w:w="162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6"/>
              </w:rPr>
              <w:t>Specialty project lender</w:t>
            </w:r>
          </w:p>
        </w:tc>
        <w:tc>
          <w:tcPr>
            <w:tcW w:type="dxa" w:w="242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6"/>
              </w:rPr>
              <w:t>Receivables, incentive, pre-sale, gap, bridge or finishing capital</w:t>
            </w:r>
          </w:p>
        </w:tc>
        <w:tc>
          <w:tcPr>
            <w:tcW w:type="dxa" w:w="270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6"/>
              </w:rPr>
              <w:t>Project-level liquidity and collateral monetization</w:t>
            </w:r>
          </w:p>
        </w:tc>
        <w:tc>
          <w:tcPr>
            <w:tcW w:type="dxa" w:w="262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6"/>
              </w:rPr>
              <w:t>Every collateral class; gap remains valuation-dependent</w:t>
            </w:r>
          </w:p>
        </w:tc>
      </w:tr>
      <w:tr>
        <w:trPr>
          <w:cantSplit/>
        </w:trPr>
        <w:tc>
          <w:tcPr>
            <w:tcW w:type="dxa" w:w="1620"/>
            <w:tcMar>
              <w:top w:w="90" w:type="dxa"/>
              <w:start w:w="120" w:type="dxa"/>
              <w:bottom w:w="90" w:type="dxa"/>
              <w:end w:w="120" w:type="dxa"/>
            </w:tcMar>
            <w:vAlign w:val="center"/>
          </w:tcPr>
          <w:p>
            <w:pPr>
              <w:spacing w:after="0" w:line="252" w:lineRule="auto"/>
              <w:jc w:val="left"/>
            </w:pPr>
            <w:r>
              <w:rPr>
                <w:rFonts w:ascii="Calibri" w:hAnsi="Calibri"/>
                <w:b w:val="0"/>
                <w:color w:val="17212B"/>
                <w:sz w:val="16"/>
              </w:rPr>
              <w:t>Institutional private credit</w:t>
            </w:r>
          </w:p>
        </w:tc>
        <w:tc>
          <w:tcPr>
            <w:tcW w:type="dxa" w:w="2420"/>
            <w:tcMar>
              <w:top w:w="90" w:type="dxa"/>
              <w:start w:w="120" w:type="dxa"/>
              <w:bottom w:w="90" w:type="dxa"/>
              <w:end w:w="120" w:type="dxa"/>
            </w:tcMar>
            <w:vAlign w:val="center"/>
          </w:tcPr>
          <w:p>
            <w:pPr>
              <w:spacing w:after="0" w:line="252" w:lineRule="auto"/>
              <w:jc w:val="left"/>
            </w:pPr>
            <w:r>
              <w:rPr>
                <w:rFonts w:ascii="Calibri" w:hAnsi="Calibri"/>
                <w:b w:val="0"/>
                <w:color w:val="17212B"/>
                <w:sz w:val="16"/>
              </w:rPr>
              <w:t>First-lien, second-lien, mezzanine or structured capital</w:t>
            </w:r>
          </w:p>
        </w:tc>
        <w:tc>
          <w:tcPr>
            <w:tcW w:type="dxa" w:w="2700"/>
            <w:tcMar>
              <w:top w:w="90" w:type="dxa"/>
              <w:start w:w="120" w:type="dxa"/>
              <w:bottom w:w="90" w:type="dxa"/>
              <w:end w:w="120" w:type="dxa"/>
            </w:tcMar>
            <w:vAlign w:val="center"/>
          </w:tcPr>
          <w:p>
            <w:pPr>
              <w:spacing w:after="0" w:line="252" w:lineRule="auto"/>
              <w:jc w:val="left"/>
            </w:pPr>
            <w:r>
              <w:rPr>
                <w:rFonts w:ascii="Calibri" w:hAnsi="Calibri"/>
                <w:b w:val="0"/>
                <w:color w:val="17212B"/>
                <w:sz w:val="16"/>
              </w:rPr>
              <w:t>Larger company, IP, library or contractual cash-flow exposure</w:t>
            </w:r>
          </w:p>
        </w:tc>
        <w:tc>
          <w:tcPr>
            <w:tcW w:type="dxa" w:w="2620"/>
            <w:tcMar>
              <w:top w:w="90" w:type="dxa"/>
              <w:start w:w="120" w:type="dxa"/>
              <w:bottom w:w="90" w:type="dxa"/>
              <w:end w:w="120" w:type="dxa"/>
            </w:tcMar>
            <w:vAlign w:val="center"/>
          </w:tcPr>
          <w:p>
            <w:pPr>
              <w:spacing w:after="0" w:line="252" w:lineRule="auto"/>
              <w:jc w:val="left"/>
            </w:pPr>
            <w:r>
              <w:rPr>
                <w:rFonts w:ascii="Calibri" w:hAnsi="Calibri"/>
                <w:b w:val="0"/>
                <w:color w:val="17212B"/>
                <w:sz w:val="16"/>
              </w:rPr>
              <w:t>Single-production availability or bank-like treasury infrastructure</w:t>
            </w:r>
          </w:p>
        </w:tc>
      </w:tr>
      <w:tr>
        <w:trPr>
          <w:cantSplit/>
        </w:trPr>
        <w:tc>
          <w:tcPr>
            <w:tcW w:type="dxa" w:w="162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6"/>
              </w:rPr>
              <w:t>Production insurer</w:t>
            </w:r>
          </w:p>
        </w:tc>
        <w:tc>
          <w:tcPr>
            <w:tcW w:type="dxa" w:w="242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6"/>
              </w:rPr>
              <w:t>Indemnity for covered named perils</w:t>
            </w:r>
          </w:p>
        </w:tc>
        <w:tc>
          <w:tcPr>
            <w:tcW w:type="dxa" w:w="270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6"/>
              </w:rPr>
              <w:t>Cast, property, equipment, liability, interruption and related insured events</w:t>
            </w:r>
          </w:p>
        </w:tc>
        <w:tc>
          <w:tcPr>
            <w:tcW w:type="dxa" w:w="262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6"/>
              </w:rPr>
              <w:t>General budget overruns, delivery or obligor payment default</w:t>
            </w:r>
          </w:p>
        </w:tc>
      </w:tr>
      <w:tr>
        <w:trPr>
          <w:cantSplit/>
        </w:trPr>
        <w:tc>
          <w:tcPr>
            <w:tcW w:type="dxa" w:w="1620"/>
            <w:tcMar>
              <w:top w:w="90" w:type="dxa"/>
              <w:start w:w="120" w:type="dxa"/>
              <w:bottom w:w="90" w:type="dxa"/>
              <w:end w:w="120" w:type="dxa"/>
            </w:tcMar>
            <w:vAlign w:val="center"/>
          </w:tcPr>
          <w:p>
            <w:pPr>
              <w:spacing w:after="0" w:line="252" w:lineRule="auto"/>
              <w:jc w:val="left"/>
            </w:pPr>
            <w:r>
              <w:rPr>
                <w:rFonts w:ascii="Calibri" w:hAnsi="Calibri"/>
                <w:b w:val="0"/>
                <w:color w:val="17212B"/>
                <w:sz w:val="16"/>
              </w:rPr>
              <w:t>Completion guarantor</w:t>
            </w:r>
          </w:p>
        </w:tc>
        <w:tc>
          <w:tcPr>
            <w:tcW w:type="dxa" w:w="2420"/>
            <w:tcMar>
              <w:top w:w="90" w:type="dxa"/>
              <w:start w:w="120" w:type="dxa"/>
              <w:bottom w:w="90" w:type="dxa"/>
              <w:end w:w="120" w:type="dxa"/>
            </w:tcMar>
            <w:vAlign w:val="center"/>
          </w:tcPr>
          <w:p>
            <w:pPr>
              <w:spacing w:after="0" w:line="252" w:lineRule="auto"/>
              <w:jc w:val="left"/>
            </w:pPr>
            <w:r>
              <w:rPr>
                <w:rFonts w:ascii="Calibri" w:hAnsi="Calibri"/>
                <w:b w:val="0"/>
                <w:color w:val="17212B"/>
                <w:sz w:val="16"/>
              </w:rPr>
              <w:t>Completion/delivery guaranty; overrun funding or repayment remedy as written</w:t>
            </w:r>
          </w:p>
        </w:tc>
        <w:tc>
          <w:tcPr>
            <w:tcW w:type="dxa" w:w="2700"/>
            <w:tcMar>
              <w:top w:w="90" w:type="dxa"/>
              <w:start w:w="120" w:type="dxa"/>
              <w:bottom w:w="90" w:type="dxa"/>
              <w:end w:w="120" w:type="dxa"/>
            </w:tcMar>
            <w:vAlign w:val="center"/>
          </w:tcPr>
          <w:p>
            <w:pPr>
              <w:spacing w:after="0" w:line="252" w:lineRule="auto"/>
              <w:jc w:val="left"/>
            </w:pPr>
            <w:r>
              <w:rPr>
                <w:rFonts w:ascii="Calibri" w:hAnsi="Calibri"/>
                <w:b w:val="0"/>
                <w:color w:val="17212B"/>
                <w:sz w:val="16"/>
              </w:rPr>
              <w:t>Failure to complete and deliver within the approved framework</w:t>
            </w:r>
          </w:p>
        </w:tc>
        <w:tc>
          <w:tcPr>
            <w:tcW w:type="dxa" w:w="2620"/>
            <w:tcMar>
              <w:top w:w="90" w:type="dxa"/>
              <w:start w:w="120" w:type="dxa"/>
              <w:bottom w:w="90" w:type="dxa"/>
              <w:end w:w="120" w:type="dxa"/>
            </w:tcMar>
            <w:vAlign w:val="center"/>
          </w:tcPr>
          <w:p>
            <w:pPr>
              <w:spacing w:after="0" w:line="252" w:lineRule="auto"/>
              <w:jc w:val="left"/>
            </w:pPr>
            <w:r>
              <w:rPr>
                <w:rFonts w:ascii="Calibri" w:hAnsi="Calibri"/>
                <w:b w:val="0"/>
                <w:color w:val="17212B"/>
                <w:sz w:val="16"/>
              </w:rPr>
              <w:t>Box office, audience demand or ordinary distributor insolvency</w:t>
            </w:r>
          </w:p>
        </w:tc>
      </w:tr>
      <w:tr>
        <w:trPr>
          <w:cantSplit/>
        </w:trPr>
        <w:tc>
          <w:tcPr>
            <w:tcW w:type="dxa" w:w="162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6"/>
              </w:rPr>
              <w:t>Credit / surety provider</w:t>
            </w:r>
          </w:p>
        </w:tc>
        <w:tc>
          <w:tcPr>
            <w:tcW w:type="dxa" w:w="242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6"/>
              </w:rPr>
              <w:t>Payment guaranty for a specifically bonded obligation</w:t>
            </w:r>
          </w:p>
        </w:tc>
        <w:tc>
          <w:tcPr>
            <w:tcW w:type="dxa" w:w="270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6"/>
              </w:rPr>
              <w:t>Defined post-delivery or obligor payment risk</w:t>
            </w:r>
          </w:p>
        </w:tc>
        <w:tc>
          <w:tcPr>
            <w:tcW w:type="dxa" w:w="262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6"/>
              </w:rPr>
              <w:t>Anything outside the bonded obligation, limits and claim conditions</w:t>
            </w:r>
          </w:p>
        </w:tc>
      </w:tr>
    </w:tbl>
    <w:p>
      <w:pPr>
        <w:spacing w:after="40"/>
      </w:pPr>
    </w:p>
    <w:p>
      <w:pPr>
        <w:pStyle w:val="Heading1"/>
        <w:keepNext/>
        <w:pageBreakBefore w:val="0"/>
      </w:pPr>
      <w:r>
        <w:rPr>
          <w:rFonts w:ascii="Calibri" w:hAnsi="Calibri"/>
          <w:b/>
          <w:color w:val="173B5E"/>
          <w:sz w:val="34"/>
        </w:rPr>
        <w:t>2. Where each participant enters the transaction</w:t>
      </w:r>
    </w:p>
    <w:tbl>
      <w:tblPr>
        <w:tblStyle w:val="TableGrid"/>
        <w:tblW w:type="dxa" w:w="9360"/>
        <w:tblLayout w:type="fixed"/>
        <w:tblLook w:firstColumn="1" w:firstRow="1" w:lastColumn="0" w:lastRow="0" w:noHBand="0" w:noVBand="1" w:val="04A0"/>
        <w:jc w:val="left"/>
        <w:tblInd w:w="120" w:type="dxa"/>
      </w:tblPr>
      <w:tblGrid>
        <w:gridCol w:w="1260"/>
        <w:gridCol w:w="2470"/>
        <w:gridCol w:w="2500"/>
        <w:gridCol w:w="3130"/>
      </w:tblGrid>
      <w:tr>
        <w:trPr>
          <w:cantSplit/>
          <w:tblHeader w:val="true"/>
          <w:cantSplit/>
        </w:trPr>
        <w:tc>
          <w:tcPr>
            <w:tcW w:type="dxa" w:w="1260"/>
            <w:tcMar>
              <w:top w:w="90" w:type="dxa"/>
              <w:start w:w="120" w:type="dxa"/>
              <w:bottom w:w="90" w:type="dxa"/>
              <w:end w:w="120" w:type="dxa"/>
            </w:tcMar>
            <w:vAlign w:val="center"/>
            <w:shd w:fill="173B5E"/>
          </w:tcPr>
          <w:p>
            <w:pPr>
              <w:spacing w:after="0" w:line="252" w:lineRule="auto"/>
              <w:jc w:val="center"/>
            </w:pPr>
            <w:r>
              <w:rPr>
                <w:rFonts w:ascii="Calibri" w:hAnsi="Calibri"/>
                <w:b/>
                <w:color w:val="FFFFFF"/>
                <w:sz w:val="16"/>
              </w:rPr>
              <w:t>Stage</w:t>
            </w:r>
          </w:p>
        </w:tc>
        <w:tc>
          <w:tcPr>
            <w:tcW w:type="dxa" w:w="2470"/>
            <w:tcMar>
              <w:top w:w="90" w:type="dxa"/>
              <w:start w:w="120" w:type="dxa"/>
              <w:bottom w:w="90" w:type="dxa"/>
              <w:end w:w="120" w:type="dxa"/>
            </w:tcMar>
            <w:vAlign w:val="center"/>
            <w:shd w:fill="173B5E"/>
          </w:tcPr>
          <w:p>
            <w:pPr>
              <w:spacing w:after="0" w:line="252" w:lineRule="auto"/>
              <w:jc w:val="center"/>
            </w:pPr>
            <w:r>
              <w:rPr>
                <w:rFonts w:ascii="Calibri" w:hAnsi="Calibri"/>
                <w:b/>
                <w:color w:val="FFFFFF"/>
                <w:sz w:val="16"/>
              </w:rPr>
              <w:t>Typical finance question</w:t>
            </w:r>
          </w:p>
        </w:tc>
        <w:tc>
          <w:tcPr>
            <w:tcW w:type="dxa" w:w="2500"/>
            <w:tcMar>
              <w:top w:w="90" w:type="dxa"/>
              <w:start w:w="120" w:type="dxa"/>
              <w:bottom w:w="90" w:type="dxa"/>
              <w:end w:w="120" w:type="dxa"/>
            </w:tcMar>
            <w:vAlign w:val="center"/>
            <w:shd w:fill="173B5E"/>
          </w:tcPr>
          <w:p>
            <w:pPr>
              <w:spacing w:after="0" w:line="252" w:lineRule="auto"/>
              <w:jc w:val="center"/>
            </w:pPr>
            <w:r>
              <w:rPr>
                <w:rFonts w:ascii="Calibri" w:hAnsi="Calibri"/>
                <w:b/>
                <w:color w:val="FFFFFF"/>
                <w:sz w:val="16"/>
              </w:rPr>
              <w:t>Relevant parties</w:t>
            </w:r>
          </w:p>
        </w:tc>
        <w:tc>
          <w:tcPr>
            <w:tcW w:type="dxa" w:w="3130"/>
            <w:tcMar>
              <w:top w:w="90" w:type="dxa"/>
              <w:start w:w="120" w:type="dxa"/>
              <w:bottom w:w="90" w:type="dxa"/>
              <w:end w:w="120" w:type="dxa"/>
            </w:tcMar>
            <w:vAlign w:val="center"/>
            <w:shd w:fill="173B5E"/>
          </w:tcPr>
          <w:p>
            <w:pPr>
              <w:spacing w:after="0" w:line="252" w:lineRule="auto"/>
              <w:jc w:val="center"/>
            </w:pPr>
            <w:r>
              <w:rPr>
                <w:rFonts w:ascii="Calibri" w:hAnsi="Calibri"/>
                <w:b/>
                <w:color w:val="FFFFFF"/>
                <w:sz w:val="16"/>
              </w:rPr>
              <w:t>Evidence the financier should demand</w:t>
            </w:r>
          </w:p>
        </w:tc>
      </w:tr>
      <w:tr>
        <w:trPr>
          <w:cantSplit/>
        </w:trPr>
        <w:tc>
          <w:tcPr>
            <w:tcW w:type="dxa" w:w="1260"/>
            <w:tcMar>
              <w:top w:w="90" w:type="dxa"/>
              <w:start w:w="120" w:type="dxa"/>
              <w:bottom w:w="90" w:type="dxa"/>
              <w:end w:w="120" w:type="dxa"/>
            </w:tcMar>
            <w:vAlign w:val="center"/>
          </w:tcPr>
          <w:p>
            <w:pPr>
              <w:spacing w:after="0" w:line="252" w:lineRule="auto"/>
              <w:jc w:val="left"/>
            </w:pPr>
            <w:r>
              <w:rPr>
                <w:rFonts w:ascii="Calibri" w:hAnsi="Calibri"/>
                <w:b w:val="0"/>
                <w:color w:val="17212B"/>
                <w:sz w:val="16"/>
              </w:rPr>
              <w:t>Development / packaging</w:t>
            </w:r>
          </w:p>
        </w:tc>
        <w:tc>
          <w:tcPr>
            <w:tcW w:type="dxa" w:w="2470"/>
            <w:tcMar>
              <w:top w:w="90" w:type="dxa"/>
              <w:start w:w="120" w:type="dxa"/>
              <w:bottom w:w="90" w:type="dxa"/>
              <w:end w:w="120" w:type="dxa"/>
            </w:tcMar>
            <w:vAlign w:val="center"/>
          </w:tcPr>
          <w:p>
            <w:pPr>
              <w:spacing w:after="0" w:line="252" w:lineRule="auto"/>
              <w:jc w:val="left"/>
            </w:pPr>
            <w:r>
              <w:rPr>
                <w:rFonts w:ascii="Calibri" w:hAnsi="Calibri"/>
                <w:b w:val="0"/>
                <w:color w:val="17212B"/>
                <w:sz w:val="16"/>
              </w:rPr>
              <w:t>Is the project commercially and legally financeable?</w:t>
            </w:r>
          </w:p>
        </w:tc>
        <w:tc>
          <w:tcPr>
            <w:tcW w:type="dxa" w:w="2500"/>
            <w:tcMar>
              <w:top w:w="90" w:type="dxa"/>
              <w:start w:w="120" w:type="dxa"/>
              <w:bottom w:w="90" w:type="dxa"/>
              <w:end w:w="120" w:type="dxa"/>
            </w:tcMar>
            <w:vAlign w:val="center"/>
          </w:tcPr>
          <w:p>
            <w:pPr>
              <w:spacing w:after="0" w:line="252" w:lineRule="auto"/>
              <w:jc w:val="left"/>
            </w:pPr>
            <w:r>
              <w:rPr>
                <w:rFonts w:ascii="Calibri" w:hAnsi="Calibri"/>
                <w:b w:val="0"/>
                <w:color w:val="17212B"/>
                <w:sz w:val="16"/>
              </w:rPr>
              <w:t>Producer, sales agent, counsel, prospective lender</w:t>
            </w:r>
          </w:p>
        </w:tc>
        <w:tc>
          <w:tcPr>
            <w:tcW w:type="dxa" w:w="3130"/>
            <w:tcMar>
              <w:top w:w="90" w:type="dxa"/>
              <w:start w:w="120" w:type="dxa"/>
              <w:bottom w:w="90" w:type="dxa"/>
              <w:end w:w="120" w:type="dxa"/>
            </w:tcMar>
            <w:vAlign w:val="center"/>
          </w:tcPr>
          <w:p>
            <w:pPr>
              <w:spacing w:after="0" w:line="252" w:lineRule="auto"/>
              <w:jc w:val="left"/>
            </w:pPr>
            <w:r>
              <w:rPr>
                <w:rFonts w:ascii="Calibri" w:hAnsi="Calibri"/>
                <w:b w:val="0"/>
                <w:color w:val="17212B"/>
                <w:sz w:val="16"/>
              </w:rPr>
              <w:t>Chain of title, budget, schedule, estimates, distribution plan and sponsor record</w:t>
            </w:r>
          </w:p>
        </w:tc>
      </w:tr>
      <w:tr>
        <w:trPr>
          <w:cantSplit/>
        </w:trPr>
        <w:tc>
          <w:tcPr>
            <w:tcW w:type="dxa" w:w="126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6"/>
              </w:rPr>
              <w:t>Underwriting / closing</w:t>
            </w:r>
          </w:p>
        </w:tc>
        <w:tc>
          <w:tcPr>
            <w:tcW w:type="dxa" w:w="247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6"/>
              </w:rPr>
              <w:t>What is eligible collateral and who must pay?</w:t>
            </w:r>
          </w:p>
        </w:tc>
        <w:tc>
          <w:tcPr>
            <w:tcW w:type="dxa" w:w="250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6"/>
              </w:rPr>
              <w:t>Bank or specialty lender; completion guarantor; broker/insurer</w:t>
            </w:r>
          </w:p>
        </w:tc>
        <w:tc>
          <w:tcPr>
            <w:tcW w:type="dxa" w:w="313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6"/>
              </w:rPr>
              <w:t>Executed contracts, obligor diligence, assignments, policy forms, bond forms and interparty terms</w:t>
            </w:r>
          </w:p>
        </w:tc>
      </w:tr>
      <w:tr>
        <w:trPr>
          <w:cantSplit/>
        </w:trPr>
        <w:tc>
          <w:tcPr>
            <w:tcW w:type="dxa" w:w="1260"/>
            <w:tcMar>
              <w:top w:w="90" w:type="dxa"/>
              <w:start w:w="120" w:type="dxa"/>
              <w:bottom w:w="90" w:type="dxa"/>
              <w:end w:w="120" w:type="dxa"/>
            </w:tcMar>
            <w:vAlign w:val="center"/>
          </w:tcPr>
          <w:p>
            <w:pPr>
              <w:spacing w:after="0" w:line="252" w:lineRule="auto"/>
              <w:jc w:val="left"/>
            </w:pPr>
            <w:r>
              <w:rPr>
                <w:rFonts w:ascii="Calibri" w:hAnsi="Calibri"/>
                <w:b w:val="0"/>
                <w:color w:val="17212B"/>
                <w:sz w:val="16"/>
              </w:rPr>
              <w:t>Production</w:t>
            </w:r>
          </w:p>
        </w:tc>
        <w:tc>
          <w:tcPr>
            <w:tcW w:type="dxa" w:w="2470"/>
            <w:tcMar>
              <w:top w:w="90" w:type="dxa"/>
              <w:start w:w="120" w:type="dxa"/>
              <w:bottom w:w="90" w:type="dxa"/>
              <w:end w:w="120" w:type="dxa"/>
            </w:tcMar>
            <w:vAlign w:val="center"/>
          </w:tcPr>
          <w:p>
            <w:pPr>
              <w:spacing w:after="0" w:line="252" w:lineRule="auto"/>
              <w:jc w:val="left"/>
            </w:pPr>
            <w:r>
              <w:rPr>
                <w:rFonts w:ascii="Calibri" w:hAnsi="Calibri"/>
                <w:b w:val="0"/>
                <w:color w:val="17212B"/>
                <w:sz w:val="16"/>
              </w:rPr>
              <w:t>Is cost-to-complete still covered by available cash?</w:t>
            </w:r>
          </w:p>
        </w:tc>
        <w:tc>
          <w:tcPr>
            <w:tcW w:type="dxa" w:w="2500"/>
            <w:tcMar>
              <w:top w:w="90" w:type="dxa"/>
              <w:start w:w="120" w:type="dxa"/>
              <w:bottom w:w="90" w:type="dxa"/>
              <w:end w:w="120" w:type="dxa"/>
            </w:tcMar>
            <w:vAlign w:val="center"/>
          </w:tcPr>
          <w:p>
            <w:pPr>
              <w:spacing w:after="0" w:line="252" w:lineRule="auto"/>
              <w:jc w:val="left"/>
            </w:pPr>
            <w:r>
              <w:rPr>
                <w:rFonts w:ascii="Calibri" w:hAnsi="Calibri"/>
                <w:b w:val="0"/>
                <w:color w:val="17212B"/>
                <w:sz w:val="16"/>
              </w:rPr>
              <w:t>Producer, lender/servicer, production insurer, completion guarantor</w:t>
            </w:r>
          </w:p>
        </w:tc>
        <w:tc>
          <w:tcPr>
            <w:tcW w:type="dxa" w:w="3130"/>
            <w:tcMar>
              <w:top w:w="90" w:type="dxa"/>
              <w:start w:w="120" w:type="dxa"/>
              <w:bottom w:w="90" w:type="dxa"/>
              <w:end w:w="120" w:type="dxa"/>
            </w:tcMar>
            <w:vAlign w:val="center"/>
          </w:tcPr>
          <w:p>
            <w:pPr>
              <w:spacing w:after="0" w:line="252" w:lineRule="auto"/>
              <w:jc w:val="left"/>
            </w:pPr>
            <w:r>
              <w:rPr>
                <w:rFonts w:ascii="Calibri" w:hAnsi="Calibri"/>
                <w:b w:val="0"/>
                <w:color w:val="17212B"/>
                <w:sz w:val="16"/>
              </w:rPr>
              <w:t>Cost reports, hot costs, production reports, claims notices and variance analysis</w:t>
            </w:r>
          </w:p>
        </w:tc>
      </w:tr>
      <w:tr>
        <w:trPr>
          <w:cantSplit/>
        </w:trPr>
        <w:tc>
          <w:tcPr>
            <w:tcW w:type="dxa" w:w="126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6"/>
              </w:rPr>
              <w:t>Delivery / acceptance</w:t>
            </w:r>
          </w:p>
        </w:tc>
        <w:tc>
          <w:tcPr>
            <w:tcW w:type="dxa" w:w="247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6"/>
              </w:rPr>
              <w:t>Have the contractual payment triggers been satisfied?</w:t>
            </w:r>
          </w:p>
        </w:tc>
        <w:tc>
          <w:tcPr>
            <w:tcW w:type="dxa" w:w="250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6"/>
              </w:rPr>
              <w:t>Producer, distributor, lender, delivery agent, completion guarantor</w:t>
            </w:r>
          </w:p>
        </w:tc>
        <w:tc>
          <w:tcPr>
            <w:tcW w:type="dxa" w:w="313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6"/>
              </w:rPr>
              <w:t>Objective delivery schedule, acceptance evidence, cure rights and deemed-acceptance provisions</w:t>
            </w:r>
          </w:p>
        </w:tc>
      </w:tr>
      <w:tr>
        <w:trPr>
          <w:cantSplit/>
        </w:trPr>
        <w:tc>
          <w:tcPr>
            <w:tcW w:type="dxa" w:w="1260"/>
            <w:tcMar>
              <w:top w:w="90" w:type="dxa"/>
              <w:start w:w="120" w:type="dxa"/>
              <w:bottom w:w="90" w:type="dxa"/>
              <w:end w:w="120" w:type="dxa"/>
            </w:tcMar>
            <w:vAlign w:val="center"/>
          </w:tcPr>
          <w:p>
            <w:pPr>
              <w:spacing w:after="0" w:line="252" w:lineRule="auto"/>
              <w:jc w:val="left"/>
            </w:pPr>
            <w:r>
              <w:rPr>
                <w:rFonts w:ascii="Calibri" w:hAnsi="Calibri"/>
                <w:b w:val="0"/>
                <w:color w:val="17212B"/>
                <w:sz w:val="16"/>
              </w:rPr>
              <w:t>Collection / repayment</w:t>
            </w:r>
          </w:p>
        </w:tc>
        <w:tc>
          <w:tcPr>
            <w:tcW w:type="dxa" w:w="2470"/>
            <w:tcMar>
              <w:top w:w="90" w:type="dxa"/>
              <w:start w:w="120" w:type="dxa"/>
              <w:bottom w:w="90" w:type="dxa"/>
              <w:end w:w="120" w:type="dxa"/>
            </w:tcMar>
            <w:vAlign w:val="center"/>
          </w:tcPr>
          <w:p>
            <w:pPr>
              <w:spacing w:after="0" w:line="252" w:lineRule="auto"/>
              <w:jc w:val="left"/>
            </w:pPr>
            <w:r>
              <w:rPr>
                <w:rFonts w:ascii="Calibri" w:hAnsi="Calibri"/>
                <w:b w:val="0"/>
                <w:color w:val="17212B"/>
                <w:sz w:val="16"/>
              </w:rPr>
              <w:t>Did controlled proceeds reach the waterfall?</w:t>
            </w:r>
          </w:p>
        </w:tc>
        <w:tc>
          <w:tcPr>
            <w:tcW w:type="dxa" w:w="2500"/>
            <w:tcMar>
              <w:top w:w="90" w:type="dxa"/>
              <w:start w:w="120" w:type="dxa"/>
              <w:bottom w:w="90" w:type="dxa"/>
              <w:end w:w="120" w:type="dxa"/>
            </w:tcMar>
            <w:vAlign w:val="center"/>
          </w:tcPr>
          <w:p>
            <w:pPr>
              <w:spacing w:after="0" w:line="252" w:lineRule="auto"/>
              <w:jc w:val="left"/>
            </w:pPr>
            <w:r>
              <w:rPr>
                <w:rFonts w:ascii="Calibri" w:hAnsi="Calibri"/>
                <w:b w:val="0"/>
                <w:color w:val="17212B"/>
                <w:sz w:val="16"/>
              </w:rPr>
              <w:t>Account bank/CAMA, servicer, lender, obligors, credit/surety provider if applicable</w:t>
            </w:r>
          </w:p>
        </w:tc>
        <w:tc>
          <w:tcPr>
            <w:tcW w:type="dxa" w:w="3130"/>
            <w:tcMar>
              <w:top w:w="90" w:type="dxa"/>
              <w:start w:w="120" w:type="dxa"/>
              <w:bottom w:w="90" w:type="dxa"/>
              <w:end w:w="120" w:type="dxa"/>
            </w:tcMar>
            <w:vAlign w:val="center"/>
          </w:tcPr>
          <w:p>
            <w:pPr>
              <w:spacing w:after="0" w:line="252" w:lineRule="auto"/>
              <w:jc w:val="left"/>
            </w:pPr>
            <w:r>
              <w:rPr>
                <w:rFonts w:ascii="Calibri" w:hAnsi="Calibri"/>
                <w:b w:val="0"/>
                <w:color w:val="17212B"/>
                <w:sz w:val="16"/>
              </w:rPr>
              <w:t>Notices of assignment, account control, reconciliations, payment confirmations and claim files</w:t>
            </w:r>
          </w:p>
        </w:tc>
      </w:tr>
    </w:tbl>
    <w:p>
      <w:pPr>
        <w:spacing w:after="40"/>
      </w:pPr>
    </w:p>
    <w:p>
      <w:pPr>
        <w:pStyle w:val="Heading1"/>
        <w:keepNext/>
        <w:pageBreakBefore w:val="0"/>
      </w:pPr>
      <w:r>
        <w:rPr>
          <w:rFonts w:ascii="Calibri" w:hAnsi="Calibri"/>
          <w:b/>
          <w:color w:val="173B5E"/>
          <w:sz w:val="34"/>
        </w:rPr>
        <w:t>3. Banks: senior capital plus cash infrastructure</w:t>
      </w:r>
    </w:p>
    <w:p>
      <w:pPr>
        <w:keepLines w:val="0"/>
        <w:spacing w:before="0" w:after="120" w:line="271" w:lineRule="auto"/>
      </w:pPr>
      <w:r>
        <w:rPr>
          <w:rFonts w:ascii="Calibri" w:hAnsi="Calibri"/>
          <w:color w:val="17212B"/>
          <w:sz w:val="21"/>
        </w:rPr>
        <w:t>The strongest bank comparison is not “who finances entertainment,” but which bank publicly describes the same product the borrower needs. Project financing, tax-credit lending and pre-sale cashflowing are materially different from corporate revolvers, acquisition finance, capital-markets advice or private banking for talent. Banks are often most competitive where repayment assets are documented, sponsors are experienced and the bank can control treasury, collection and foreign-exchange flows.</w:t>
      </w:r>
    </w:p>
    <w:tbl>
      <w:tblPr>
        <w:tblStyle w:val="TableGrid"/>
        <w:tblW w:type="dxa" w:w="9360"/>
        <w:tblLayout w:type="fixed"/>
        <w:tblLook w:firstColumn="1" w:firstRow="1" w:lastColumn="0" w:lastRow="0" w:noHBand="0" w:noVBand="1" w:val="04A0"/>
        <w:jc w:val="left"/>
        <w:tblInd w:w="120" w:type="dxa"/>
      </w:tblPr>
      <w:tblGrid>
        <w:gridCol w:w="1480"/>
        <w:gridCol w:w="3420"/>
        <w:gridCol w:w="2430"/>
        <w:gridCol w:w="2030"/>
      </w:tblGrid>
      <w:tr>
        <w:trPr>
          <w:cantSplit/>
          <w:tblHeader w:val="true"/>
          <w:cantSplit/>
        </w:trPr>
        <w:tc>
          <w:tcPr>
            <w:tcW w:type="dxa" w:w="1480"/>
            <w:tcMar>
              <w:top w:w="90" w:type="dxa"/>
              <w:start w:w="120" w:type="dxa"/>
              <w:bottom w:w="90" w:type="dxa"/>
              <w:end w:w="120" w:type="dxa"/>
            </w:tcMar>
            <w:vAlign w:val="center"/>
            <w:shd w:fill="173B5E"/>
          </w:tcPr>
          <w:p>
            <w:pPr>
              <w:spacing w:after="0" w:line="252" w:lineRule="auto"/>
              <w:jc w:val="center"/>
            </w:pPr>
            <w:r>
              <w:rPr>
                <w:rFonts w:ascii="Calibri" w:hAnsi="Calibri"/>
                <w:b/>
                <w:color w:val="FFFFFF"/>
                <w:sz w:val="16"/>
              </w:rPr>
              <w:t>Bank platform</w:t>
            </w:r>
          </w:p>
        </w:tc>
        <w:tc>
          <w:tcPr>
            <w:tcW w:type="dxa" w:w="3420"/>
            <w:tcMar>
              <w:top w:w="90" w:type="dxa"/>
              <w:start w:w="120" w:type="dxa"/>
              <w:bottom w:w="90" w:type="dxa"/>
              <w:end w:w="120" w:type="dxa"/>
            </w:tcMar>
            <w:vAlign w:val="center"/>
            <w:shd w:fill="173B5E"/>
          </w:tcPr>
          <w:p>
            <w:pPr>
              <w:spacing w:after="0" w:line="252" w:lineRule="auto"/>
              <w:jc w:val="center"/>
            </w:pPr>
            <w:r>
              <w:rPr>
                <w:rFonts w:ascii="Calibri" w:hAnsi="Calibri"/>
                <w:b/>
                <w:color w:val="FFFFFF"/>
                <w:sz w:val="16"/>
              </w:rPr>
              <w:t>Publicly evidenced scope</w:t>
            </w:r>
          </w:p>
        </w:tc>
        <w:tc>
          <w:tcPr>
            <w:tcW w:type="dxa" w:w="2430"/>
            <w:tcMar>
              <w:top w:w="90" w:type="dxa"/>
              <w:start w:w="120" w:type="dxa"/>
              <w:bottom w:w="90" w:type="dxa"/>
              <w:end w:w="120" w:type="dxa"/>
            </w:tcMar>
            <w:vAlign w:val="center"/>
            <w:shd w:fill="173B5E"/>
          </w:tcPr>
          <w:p>
            <w:pPr>
              <w:spacing w:after="0" w:line="252" w:lineRule="auto"/>
              <w:jc w:val="center"/>
            </w:pPr>
            <w:r>
              <w:rPr>
                <w:rFonts w:ascii="Calibri" w:hAnsi="Calibri"/>
                <w:b/>
                <w:color w:val="FFFFFF"/>
                <w:sz w:val="16"/>
              </w:rPr>
              <w:t>Closest comparison</w:t>
            </w:r>
          </w:p>
        </w:tc>
        <w:tc>
          <w:tcPr>
            <w:tcW w:type="dxa" w:w="2030"/>
            <w:tcMar>
              <w:top w:w="90" w:type="dxa"/>
              <w:start w:w="120" w:type="dxa"/>
              <w:bottom w:w="90" w:type="dxa"/>
              <w:end w:w="120" w:type="dxa"/>
            </w:tcMar>
            <w:vAlign w:val="center"/>
            <w:shd w:fill="173B5E"/>
          </w:tcPr>
          <w:p>
            <w:pPr>
              <w:spacing w:after="0" w:line="252" w:lineRule="auto"/>
              <w:jc w:val="center"/>
            </w:pPr>
            <w:r>
              <w:rPr>
                <w:rFonts w:ascii="Calibri" w:hAnsi="Calibri"/>
                <w:b/>
                <w:color w:val="FFFFFF"/>
                <w:sz w:val="16"/>
              </w:rPr>
              <w:t>Important qualification</w:t>
            </w:r>
          </w:p>
        </w:tc>
      </w:tr>
      <w:tr>
        <w:trPr>
          <w:cantSplit/>
        </w:trPr>
        <w:tc>
          <w:tcPr>
            <w:tcW w:type="dxa" w:w="1480"/>
            <w:tcMar>
              <w:top w:w="90" w:type="dxa"/>
              <w:start w:w="120" w:type="dxa"/>
              <w:bottom w:w="90" w:type="dxa"/>
              <w:end w:w="120" w:type="dxa"/>
            </w:tcMar>
            <w:vAlign w:val="center"/>
          </w:tcPr>
          <w:p>
            <w:pPr>
              <w:spacing w:after="0" w:line="252" w:lineRule="auto"/>
              <w:jc w:val="left"/>
            </w:pPr>
            <w:r>
              <w:rPr>
                <w:rFonts w:ascii="Calibri" w:hAnsi="Calibri"/>
                <w:b w:val="0"/>
                <w:color w:val="17212B"/>
                <w:sz w:val="15"/>
              </w:rPr>
              <w:t>City National Bank</w:t>
            </w:r>
          </w:p>
        </w:tc>
        <w:tc>
          <w:tcPr>
            <w:tcW w:type="dxa" w:w="3420"/>
            <w:tcMar>
              <w:top w:w="90" w:type="dxa"/>
              <w:start w:w="120" w:type="dxa"/>
              <w:bottom w:w="90" w:type="dxa"/>
              <w:end w:w="120" w:type="dxa"/>
            </w:tcMar>
            <w:vAlign w:val="center"/>
          </w:tcPr>
          <w:p>
            <w:pPr>
              <w:spacing w:after="0" w:line="252" w:lineRule="auto"/>
              <w:jc w:val="left"/>
            </w:pPr>
            <w:r>
              <w:rPr>
                <w:rFonts w:ascii="Calibri" w:hAnsi="Calibri"/>
                <w:b w:val="0"/>
                <w:color w:val="17212B"/>
                <w:sz w:val="15"/>
              </w:rPr>
              <w:t>Film/TV project financing, lines of credit, equipment finance and entertainment banking</w:t>
            </w:r>
          </w:p>
        </w:tc>
        <w:tc>
          <w:tcPr>
            <w:tcW w:type="dxa" w:w="2430"/>
            <w:tcMar>
              <w:top w:w="90" w:type="dxa"/>
              <w:start w:w="120" w:type="dxa"/>
              <w:bottom w:w="90" w:type="dxa"/>
              <w:end w:w="120" w:type="dxa"/>
            </w:tcMar>
            <w:vAlign w:val="center"/>
          </w:tcPr>
          <w:p>
            <w:pPr>
              <w:spacing w:after="0" w:line="252" w:lineRule="auto"/>
              <w:jc w:val="left"/>
            </w:pPr>
            <w:r>
              <w:rPr>
                <w:rFonts w:ascii="Calibri" w:hAnsi="Calibri"/>
                <w:b w:val="0"/>
                <w:color w:val="17212B"/>
                <w:sz w:val="15"/>
              </w:rPr>
              <w:t>Production companies, studios, distributors and repeat borrowers</w:t>
            </w:r>
          </w:p>
        </w:tc>
        <w:tc>
          <w:tcPr>
            <w:tcW w:type="dxa" w:w="2030"/>
            <w:tcMar>
              <w:top w:w="90" w:type="dxa"/>
              <w:start w:w="120" w:type="dxa"/>
              <w:bottom w:w="90" w:type="dxa"/>
              <w:end w:w="120" w:type="dxa"/>
            </w:tcMar>
            <w:vAlign w:val="center"/>
          </w:tcPr>
          <w:p>
            <w:pPr>
              <w:spacing w:after="0" w:line="252" w:lineRule="auto"/>
              <w:jc w:val="left"/>
            </w:pPr>
            <w:r>
              <w:rPr>
                <w:rFonts w:ascii="Calibri" w:hAnsi="Calibri"/>
                <w:b w:val="0"/>
                <w:color w:val="17212B"/>
                <w:sz w:val="15"/>
              </w:rPr>
              <w:t>Public materials do not disclose advance rates or current hold size</w:t>
            </w:r>
          </w:p>
        </w:tc>
      </w:tr>
      <w:tr>
        <w:trPr>
          <w:cantSplit/>
        </w:trPr>
        <w:tc>
          <w:tcPr>
            <w:tcW w:type="dxa" w:w="148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Banc of California</w:t>
            </w:r>
          </w:p>
        </w:tc>
        <w:tc>
          <w:tcPr>
            <w:tcW w:type="dxa" w:w="342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Film and episodic production finance, library/license monetization, tax-credit support, CAMA and FX</w:t>
            </w:r>
          </w:p>
        </w:tc>
        <w:tc>
          <w:tcPr>
            <w:tcW w:type="dxa" w:w="243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Project and company lending with integrated treasury</w:t>
            </w:r>
          </w:p>
        </w:tc>
        <w:tc>
          <w:tcPr>
            <w:tcW w:type="dxa" w:w="203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Broad service menu does not mean every product is available to every borrower</w:t>
            </w:r>
          </w:p>
        </w:tc>
      </w:tr>
      <w:tr>
        <w:trPr>
          <w:cantSplit/>
        </w:trPr>
        <w:tc>
          <w:tcPr>
            <w:tcW w:type="dxa" w:w="1480"/>
            <w:tcMar>
              <w:top w:w="90" w:type="dxa"/>
              <w:start w:w="120" w:type="dxa"/>
              <w:bottom w:w="90" w:type="dxa"/>
              <w:end w:w="120" w:type="dxa"/>
            </w:tcMar>
            <w:vAlign w:val="center"/>
          </w:tcPr>
          <w:p>
            <w:pPr>
              <w:spacing w:after="0" w:line="252" w:lineRule="auto"/>
              <w:jc w:val="left"/>
            </w:pPr>
            <w:r>
              <w:rPr>
                <w:rFonts w:ascii="Calibri" w:hAnsi="Calibri"/>
                <w:b w:val="0"/>
                <w:color w:val="17212B"/>
                <w:sz w:val="15"/>
              </w:rPr>
              <w:t>Fifth Third / legacy Comerica</w:t>
            </w:r>
          </w:p>
        </w:tc>
        <w:tc>
          <w:tcPr>
            <w:tcW w:type="dxa" w:w="3420"/>
            <w:tcMar>
              <w:top w:w="90" w:type="dxa"/>
              <w:start w:w="120" w:type="dxa"/>
              <w:bottom w:w="90" w:type="dxa"/>
              <w:end w:w="120" w:type="dxa"/>
            </w:tcMar>
            <w:vAlign w:val="center"/>
          </w:tcPr>
          <w:p>
            <w:pPr>
              <w:spacing w:after="0" w:line="252" w:lineRule="auto"/>
              <w:jc w:val="left"/>
            </w:pPr>
            <w:r>
              <w:rPr>
                <w:rFonts w:ascii="Calibri" w:hAnsi="Calibri"/>
                <w:b w:val="0"/>
                <w:color w:val="17212B"/>
                <w:sz w:val="15"/>
              </w:rPr>
              <w:t>TMT credit and capital solutions; legacy Comerica entertainment expertise now within the combined bank</w:t>
            </w:r>
          </w:p>
        </w:tc>
        <w:tc>
          <w:tcPr>
            <w:tcW w:type="dxa" w:w="2430"/>
            <w:tcMar>
              <w:top w:w="90" w:type="dxa"/>
              <w:start w:w="120" w:type="dxa"/>
              <w:bottom w:w="90" w:type="dxa"/>
              <w:end w:w="120" w:type="dxa"/>
            </w:tcMar>
            <w:vAlign w:val="center"/>
          </w:tcPr>
          <w:p>
            <w:pPr>
              <w:spacing w:after="0" w:line="252" w:lineRule="auto"/>
              <w:jc w:val="left"/>
            </w:pPr>
            <w:r>
              <w:rPr>
                <w:rFonts w:ascii="Calibri" w:hAnsi="Calibri"/>
                <w:b w:val="0"/>
                <w:color w:val="17212B"/>
                <w:sz w:val="15"/>
              </w:rPr>
              <w:t>Filmed-entertainment companies and structured senior credit</w:t>
            </w:r>
          </w:p>
        </w:tc>
        <w:tc>
          <w:tcPr>
            <w:tcW w:type="dxa" w:w="2030"/>
            <w:tcMar>
              <w:top w:w="90" w:type="dxa"/>
              <w:start w:w="120" w:type="dxa"/>
              <w:bottom w:w="90" w:type="dxa"/>
              <w:end w:w="120" w:type="dxa"/>
            </w:tcMar>
            <w:vAlign w:val="center"/>
          </w:tcPr>
          <w:p>
            <w:pPr>
              <w:spacing w:after="0" w:line="252" w:lineRule="auto"/>
              <w:jc w:val="left"/>
            </w:pPr>
            <w:r>
              <w:rPr>
                <w:rFonts w:ascii="Calibri" w:hAnsi="Calibri"/>
                <w:b w:val="0"/>
                <w:color w:val="17212B"/>
                <w:sz w:val="15"/>
              </w:rPr>
              <w:t>One combined bank after the February 2026 merger; do not double-count</w:t>
            </w:r>
          </w:p>
        </w:tc>
      </w:tr>
      <w:tr>
        <w:trPr>
          <w:cantSplit/>
        </w:trPr>
        <w:tc>
          <w:tcPr>
            <w:tcW w:type="dxa" w:w="148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East West Bank</w:t>
            </w:r>
          </w:p>
        </w:tc>
        <w:tc>
          <w:tcPr>
            <w:tcW w:type="dxa" w:w="342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Film/TV financing, working-capital and corporate facilities, FX and cross-border banking</w:t>
            </w:r>
          </w:p>
        </w:tc>
        <w:tc>
          <w:tcPr>
            <w:tcW w:type="dxa" w:w="243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U.S.-Asia and international production relationships</w:t>
            </w:r>
          </w:p>
        </w:tc>
        <w:tc>
          <w:tcPr>
            <w:tcW w:type="dxa" w:w="203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Product-level public detail is less granular than some peers</w:t>
            </w:r>
          </w:p>
        </w:tc>
      </w:tr>
      <w:tr>
        <w:trPr>
          <w:cantSplit/>
        </w:trPr>
        <w:tc>
          <w:tcPr>
            <w:tcW w:type="dxa" w:w="1480"/>
            <w:tcMar>
              <w:top w:w="90" w:type="dxa"/>
              <w:start w:w="120" w:type="dxa"/>
              <w:bottom w:w="90" w:type="dxa"/>
              <w:end w:w="120" w:type="dxa"/>
            </w:tcMar>
            <w:vAlign w:val="center"/>
          </w:tcPr>
          <w:p>
            <w:pPr>
              <w:spacing w:after="0" w:line="252" w:lineRule="auto"/>
              <w:jc w:val="left"/>
            </w:pPr>
            <w:r>
              <w:rPr>
                <w:rFonts w:ascii="Calibri" w:hAnsi="Calibri"/>
                <w:b w:val="0"/>
                <w:color w:val="17212B"/>
                <w:sz w:val="15"/>
              </w:rPr>
              <w:t>First Citizens Bank</w:t>
            </w:r>
          </w:p>
        </w:tc>
        <w:tc>
          <w:tcPr>
            <w:tcW w:type="dxa" w:w="3420"/>
            <w:tcMar>
              <w:top w:w="90" w:type="dxa"/>
              <w:start w:w="120" w:type="dxa"/>
              <w:bottom w:w="90" w:type="dxa"/>
              <w:end w:w="120" w:type="dxa"/>
            </w:tcMar>
            <w:vAlign w:val="center"/>
          </w:tcPr>
          <w:p>
            <w:pPr>
              <w:spacing w:after="0" w:line="252" w:lineRule="auto"/>
              <w:jc w:val="left"/>
            </w:pPr>
            <w:r>
              <w:rPr>
                <w:rFonts w:ascii="Calibri" w:hAnsi="Calibri"/>
                <w:b w:val="0"/>
                <w:color w:val="17212B"/>
                <w:sz w:val="15"/>
              </w:rPr>
              <w:t>Film/TV production and distribution; balance-sheet, asset-backed, cash-flow and project finance</w:t>
            </w:r>
          </w:p>
        </w:tc>
        <w:tc>
          <w:tcPr>
            <w:tcW w:type="dxa" w:w="2430"/>
            <w:tcMar>
              <w:top w:w="90" w:type="dxa"/>
              <w:start w:w="120" w:type="dxa"/>
              <w:bottom w:w="90" w:type="dxa"/>
              <w:end w:w="120" w:type="dxa"/>
            </w:tcMar>
            <w:vAlign w:val="center"/>
          </w:tcPr>
          <w:p>
            <w:pPr>
              <w:spacing w:after="0" w:line="252" w:lineRule="auto"/>
              <w:jc w:val="left"/>
            </w:pPr>
            <w:r>
              <w:rPr>
                <w:rFonts w:ascii="Calibri" w:hAnsi="Calibri"/>
                <w:b w:val="0"/>
                <w:color w:val="17212B"/>
                <w:sz w:val="15"/>
              </w:rPr>
              <w:t>Established companies and project financing</w:t>
            </w:r>
          </w:p>
        </w:tc>
        <w:tc>
          <w:tcPr>
            <w:tcW w:type="dxa" w:w="2030"/>
            <w:tcMar>
              <w:top w:w="90" w:type="dxa"/>
              <w:start w:w="120" w:type="dxa"/>
              <w:bottom w:w="90" w:type="dxa"/>
              <w:end w:w="120" w:type="dxa"/>
            </w:tcMar>
            <w:vAlign w:val="center"/>
          </w:tcPr>
          <w:p>
            <w:pPr>
              <w:spacing w:after="0" w:line="252" w:lineRule="auto"/>
              <w:jc w:val="left"/>
            </w:pPr>
            <w:r>
              <w:rPr>
                <w:rFonts w:ascii="Calibri" w:hAnsi="Calibri"/>
                <w:b w:val="0"/>
                <w:color w:val="17212B"/>
                <w:sz w:val="15"/>
              </w:rPr>
              <w:t>Also serves many broader media sectors, so mandate must be matched</w:t>
            </w:r>
          </w:p>
        </w:tc>
      </w:tr>
      <w:tr>
        <w:trPr>
          <w:cantSplit/>
        </w:trPr>
        <w:tc>
          <w:tcPr>
            <w:tcW w:type="dxa" w:w="148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Western Alliance Bank</w:t>
            </w:r>
          </w:p>
        </w:tc>
        <w:tc>
          <w:tcPr>
            <w:tcW w:type="dxa" w:w="342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Tailored financing for film/TV production, distribution and media businesses; multi-currency capacity</w:t>
            </w:r>
          </w:p>
        </w:tc>
        <w:tc>
          <w:tcPr>
            <w:tcW w:type="dxa" w:w="243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Production and operating-company finance</w:t>
            </w:r>
          </w:p>
        </w:tc>
        <w:tc>
          <w:tcPr>
            <w:tcW w:type="dxa" w:w="203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Public list emphasizes broad credit solutions rather than collateral formulas</w:t>
            </w:r>
          </w:p>
        </w:tc>
      </w:tr>
      <w:tr>
        <w:trPr>
          <w:cantSplit/>
        </w:trPr>
        <w:tc>
          <w:tcPr>
            <w:tcW w:type="dxa" w:w="1480"/>
            <w:tcMar>
              <w:top w:w="90" w:type="dxa"/>
              <w:start w:w="120" w:type="dxa"/>
              <w:bottom w:w="90" w:type="dxa"/>
              <w:end w:w="120" w:type="dxa"/>
            </w:tcMar>
            <w:vAlign w:val="center"/>
          </w:tcPr>
          <w:p>
            <w:pPr>
              <w:spacing w:after="0" w:line="252" w:lineRule="auto"/>
              <w:jc w:val="left"/>
            </w:pPr>
            <w:r>
              <w:rPr>
                <w:rFonts w:ascii="Calibri" w:hAnsi="Calibri"/>
                <w:b w:val="0"/>
                <w:color w:val="17212B"/>
                <w:sz w:val="15"/>
              </w:rPr>
              <w:t>J.P. Morgan</w:t>
            </w:r>
          </w:p>
        </w:tc>
        <w:tc>
          <w:tcPr>
            <w:tcW w:type="dxa" w:w="3420"/>
            <w:tcMar>
              <w:top w:w="90" w:type="dxa"/>
              <w:start w:w="120" w:type="dxa"/>
              <w:bottom w:w="90" w:type="dxa"/>
              <w:end w:w="120" w:type="dxa"/>
            </w:tcMar>
            <w:vAlign w:val="center"/>
          </w:tcPr>
          <w:p>
            <w:pPr>
              <w:spacing w:after="0" w:line="252" w:lineRule="auto"/>
              <w:jc w:val="left"/>
            </w:pPr>
            <w:r>
              <w:rPr>
                <w:rFonts w:ascii="Calibri" w:hAnsi="Calibri"/>
                <w:b w:val="0"/>
                <w:color w:val="17212B"/>
                <w:sz w:val="15"/>
              </w:rPr>
              <w:t>Corporate banking, capital raising and strategic solutions for media, telecom and entertainment</w:t>
            </w:r>
          </w:p>
        </w:tc>
        <w:tc>
          <w:tcPr>
            <w:tcW w:type="dxa" w:w="2430"/>
            <w:tcMar>
              <w:top w:w="90" w:type="dxa"/>
              <w:start w:w="120" w:type="dxa"/>
              <w:bottom w:w="90" w:type="dxa"/>
              <w:end w:w="120" w:type="dxa"/>
            </w:tcMar>
            <w:vAlign w:val="center"/>
          </w:tcPr>
          <w:p>
            <w:pPr>
              <w:spacing w:after="0" w:line="252" w:lineRule="auto"/>
              <w:jc w:val="left"/>
            </w:pPr>
            <w:r>
              <w:rPr>
                <w:rFonts w:ascii="Calibri" w:hAnsi="Calibri"/>
                <w:b w:val="0"/>
                <w:color w:val="17212B"/>
                <w:sz w:val="15"/>
              </w:rPr>
              <w:t>Larger companies, studios and capital-markets transactions</w:t>
            </w:r>
          </w:p>
        </w:tc>
        <w:tc>
          <w:tcPr>
            <w:tcW w:type="dxa" w:w="2030"/>
            <w:tcMar>
              <w:top w:w="90" w:type="dxa"/>
              <w:start w:w="120" w:type="dxa"/>
              <w:bottom w:w="90" w:type="dxa"/>
              <w:end w:w="120" w:type="dxa"/>
            </w:tcMar>
            <w:vAlign w:val="center"/>
          </w:tcPr>
          <w:p>
            <w:pPr>
              <w:spacing w:after="0" w:line="252" w:lineRule="auto"/>
              <w:jc w:val="left"/>
            </w:pPr>
            <w:r>
              <w:rPr>
                <w:rFonts w:ascii="Calibri" w:hAnsi="Calibri"/>
                <w:b w:val="0"/>
                <w:color w:val="17212B"/>
                <w:sz w:val="15"/>
              </w:rPr>
              <w:t>Less direct public evidence of single-project receivables lending</w:t>
            </w:r>
          </w:p>
        </w:tc>
      </w:tr>
    </w:tbl>
    <w:p>
      <w:pPr>
        <w:spacing w:after="40"/>
      </w:pPr>
    </w:p>
    <w:p>
      <w:pPr>
        <w:keepLines w:val="0"/>
        <w:spacing w:before="0" w:after="100" w:line="271" w:lineRule="auto"/>
      </w:pPr>
      <w:r>
        <w:rPr>
          <w:rFonts w:ascii="Calibri" w:hAnsi="Calibri"/>
          <w:b/>
          <w:color w:val="173B5E"/>
          <w:sz w:val="21"/>
        </w:rPr>
        <w:t xml:space="preserve">City National Bank. </w:t>
      </w:r>
      <w:r>
        <w:rPr>
          <w:rFonts w:ascii="Calibri" w:hAnsi="Calibri"/>
          <w:color w:val="17212B"/>
          <w:sz w:val="21"/>
        </w:rPr>
        <w:t>Public materials expressly describe project financing and revolving credit for film production, alongside equipment and entertainment-industry services. Its comparative strength is the combination of sector specialization with bank treasury and cash-management infrastructure.</w:t>
      </w:r>
      <w:r>
        <w:t xml:space="preserve">  </w:t>
      </w:r>
      <w:hyperlink r:id="rId11">
        <w:r>
          <w:rPr>
            <w:rFonts w:ascii="Calibri" w:hAnsi="Calibri"/>
            <w:color w:val="2E6E9E"/>
            <w:u w:val="single"/>
            <w:sz w:val="14"/>
            <w:vertAlign w:val="superscript"/>
          </w:rPr>
          <w:t>[B1]</w:t>
        </w:r>
      </w:hyperlink>
    </w:p>
    <w:p>
      <w:pPr>
        <w:keepLines w:val="0"/>
        <w:spacing w:before="0" w:after="100" w:line="271" w:lineRule="auto"/>
      </w:pPr>
      <w:r>
        <w:rPr>
          <w:rFonts w:ascii="Calibri" w:hAnsi="Calibri"/>
          <w:b/>
          <w:color w:val="173B5E"/>
          <w:sz w:val="21"/>
        </w:rPr>
        <w:t xml:space="preserve">Banc of California. </w:t>
      </w:r>
      <w:r>
        <w:rPr>
          <w:rFonts w:ascii="Calibri" w:hAnsi="Calibri"/>
          <w:color w:val="17212B"/>
          <w:sz w:val="21"/>
        </w:rPr>
        <w:t>Its current media offering is unusually explicit: film and episodic production finance, library and license-agreement monetization, tax-credit support, CAMA/collection accounts, treasury and FX. That breadth makes it a direct comparator across both lending and cash-control functions.</w:t>
      </w:r>
      <w:r>
        <w:t xml:space="preserve">  </w:t>
      </w:r>
      <w:hyperlink r:id="rId12">
        <w:r>
          <w:rPr>
            <w:rFonts w:ascii="Calibri" w:hAnsi="Calibri"/>
            <w:color w:val="2E6E9E"/>
            <w:u w:val="single"/>
            <w:sz w:val="14"/>
            <w:vertAlign w:val="superscript"/>
          </w:rPr>
          <w:t>[B2]</w:t>
        </w:r>
      </w:hyperlink>
    </w:p>
    <w:p>
      <w:pPr>
        <w:keepLines w:val="0"/>
        <w:spacing w:before="0" w:after="100" w:line="271" w:lineRule="auto"/>
      </w:pPr>
      <w:r>
        <w:rPr>
          <w:rFonts w:ascii="Calibri" w:hAnsi="Calibri"/>
          <w:b/>
          <w:color w:val="173B5E"/>
          <w:sz w:val="21"/>
        </w:rPr>
        <w:t xml:space="preserve">Fifth Third / legacy Comerica. </w:t>
      </w:r>
      <w:r>
        <w:rPr>
          <w:rFonts w:ascii="Calibri" w:hAnsi="Calibri"/>
          <w:color w:val="17212B"/>
          <w:sz w:val="21"/>
        </w:rPr>
        <w:t>Fifth Third maintains a media and entertainment leadership group and TMT credit platform. Fifth Third closed its merger with Comerica on February 2, 2026; legacy Comerica should therefore be understood as acquired capability within the combined bank, not as a separate current competitor.</w:t>
      </w:r>
      <w:r>
        <w:t xml:space="preserve">  </w:t>
      </w:r>
      <w:hyperlink r:id="rId13">
        <w:r>
          <w:rPr>
            <w:rFonts w:ascii="Calibri" w:hAnsi="Calibri"/>
            <w:color w:val="2E6E9E"/>
            <w:u w:val="single"/>
            <w:sz w:val="14"/>
            <w:vertAlign w:val="superscript"/>
          </w:rPr>
          <w:t>[B3]</w:t>
        </w:r>
      </w:hyperlink>
      <w:r>
        <w:t xml:space="preserve"> </w:t>
      </w:r>
      <w:hyperlink r:id="rId14">
        <w:r>
          <w:rPr>
            <w:rFonts w:ascii="Calibri" w:hAnsi="Calibri"/>
            <w:color w:val="2E6E9E"/>
            <w:u w:val="single"/>
            <w:sz w:val="14"/>
            <w:vertAlign w:val="superscript"/>
          </w:rPr>
          <w:t>[B4]</w:t>
        </w:r>
      </w:hyperlink>
    </w:p>
    <w:p>
      <w:pPr>
        <w:keepLines w:val="0"/>
        <w:spacing w:before="0" w:after="100" w:line="271" w:lineRule="auto"/>
      </w:pPr>
      <w:r>
        <w:rPr>
          <w:rFonts w:ascii="Calibri" w:hAnsi="Calibri"/>
          <w:b/>
          <w:color w:val="173B5E"/>
          <w:sz w:val="21"/>
        </w:rPr>
        <w:t xml:space="preserve">East West Bank. </w:t>
      </w:r>
      <w:r>
        <w:rPr>
          <w:rFonts w:ascii="Calibri" w:hAnsi="Calibri"/>
          <w:color w:val="17212B"/>
          <w:sz w:val="21"/>
        </w:rPr>
        <w:t>The bank publicly lists film and television financing, working-capital and corporate facilities, foreign exchange and cross-border support. Its U.S.-Asia network can be relevant where production, investors or distribution cross those markets.</w:t>
      </w:r>
      <w:r>
        <w:t xml:space="preserve">  </w:t>
      </w:r>
      <w:hyperlink r:id="rId15">
        <w:r>
          <w:rPr>
            <w:rFonts w:ascii="Calibri" w:hAnsi="Calibri"/>
            <w:color w:val="2E6E9E"/>
            <w:u w:val="single"/>
            <w:sz w:val="14"/>
            <w:vertAlign w:val="superscript"/>
          </w:rPr>
          <w:t>[B5]</w:t>
        </w:r>
      </w:hyperlink>
    </w:p>
    <w:p>
      <w:pPr>
        <w:keepLines w:val="0"/>
        <w:spacing w:before="0" w:after="100" w:line="271" w:lineRule="auto"/>
      </w:pPr>
      <w:r>
        <w:rPr>
          <w:rFonts w:ascii="Calibri" w:hAnsi="Calibri"/>
          <w:b/>
          <w:color w:val="173B5E"/>
          <w:sz w:val="21"/>
        </w:rPr>
        <w:t xml:space="preserve">First Citizens Bank. </w:t>
      </w:r>
      <w:r>
        <w:rPr>
          <w:rFonts w:ascii="Calibri" w:hAnsi="Calibri"/>
          <w:color w:val="17212B"/>
          <w:sz w:val="21"/>
        </w:rPr>
        <w:t>First Citizens identifies film production and distribution and television production among its sector capabilities, and lists traditional balance-sheet, asset-backed, cash-flow and project financing. The platform spans both projects and established operating companies.</w:t>
      </w:r>
      <w:r>
        <w:t xml:space="preserve">  </w:t>
      </w:r>
      <w:hyperlink r:id="rId16">
        <w:r>
          <w:rPr>
            <w:rFonts w:ascii="Calibri" w:hAnsi="Calibri"/>
            <w:color w:val="2E6E9E"/>
            <w:u w:val="single"/>
            <w:sz w:val="14"/>
            <w:vertAlign w:val="superscript"/>
          </w:rPr>
          <w:t>[B6]</w:t>
        </w:r>
      </w:hyperlink>
    </w:p>
    <w:p>
      <w:pPr>
        <w:keepLines w:val="0"/>
        <w:spacing w:before="0" w:after="100" w:line="271" w:lineRule="auto"/>
      </w:pPr>
      <w:r>
        <w:rPr>
          <w:rFonts w:ascii="Calibri" w:hAnsi="Calibri"/>
          <w:b/>
          <w:color w:val="173B5E"/>
          <w:sz w:val="21"/>
        </w:rPr>
        <w:t xml:space="preserve">Western Alliance Bank. </w:t>
      </w:r>
      <w:r>
        <w:rPr>
          <w:rFonts w:ascii="Calibri" w:hAnsi="Calibri"/>
          <w:color w:val="17212B"/>
          <w:sz w:val="21"/>
        </w:rPr>
        <w:t>Western Alliance describes tailored financing for film and television production, distribution and post-production businesses, with multi-currency lending and broader working-capital, acquisition and syndicated-finance tools.</w:t>
      </w:r>
      <w:r>
        <w:t xml:space="preserve">  </w:t>
      </w:r>
      <w:hyperlink r:id="rId17">
        <w:r>
          <w:rPr>
            <w:rFonts w:ascii="Calibri" w:hAnsi="Calibri"/>
            <w:color w:val="2E6E9E"/>
            <w:u w:val="single"/>
            <w:sz w:val="14"/>
            <w:vertAlign w:val="superscript"/>
          </w:rPr>
          <w:t>[B7]</w:t>
        </w:r>
      </w:hyperlink>
    </w:p>
    <w:p>
      <w:pPr>
        <w:keepLines w:val="0"/>
        <w:spacing w:before="0" w:after="100" w:line="271" w:lineRule="auto"/>
      </w:pPr>
      <w:r>
        <w:rPr>
          <w:rFonts w:ascii="Calibri" w:hAnsi="Calibri"/>
          <w:b/>
          <w:color w:val="173B5E"/>
          <w:sz w:val="21"/>
        </w:rPr>
        <w:t xml:space="preserve">J.P. Morgan. </w:t>
      </w:r>
      <w:r>
        <w:rPr>
          <w:rFonts w:ascii="Calibri" w:hAnsi="Calibri"/>
          <w:color w:val="17212B"/>
          <w:sz w:val="21"/>
        </w:rPr>
        <w:t>J.P. Morgan clearly serves media, telecom and entertainment clients with corporate banking, advisory and capital-raising solutions. Because its public materials are framed around companies and strategic finance, it should be compared to corporate or institutional facilities unless transaction-specific evidence shows project-level lending.</w:t>
      </w:r>
      <w:r>
        <w:t xml:space="preserve">  </w:t>
      </w:r>
      <w:hyperlink r:id="rId18">
        <w:r>
          <w:rPr>
            <w:rFonts w:ascii="Calibri" w:hAnsi="Calibri"/>
            <w:color w:val="2E6E9E"/>
            <w:u w:val="single"/>
            <w:sz w:val="14"/>
            <w:vertAlign w:val="superscript"/>
          </w:rPr>
          <w:t>[B8]</w:t>
        </w:r>
      </w:hyperlink>
    </w:p>
    <w:p>
      <w:pPr>
        <w:pStyle w:val="Heading2"/>
        <w:keepNext/>
        <w:pageBreakBefore w:val="0"/>
      </w:pPr>
      <w:r>
        <w:rPr>
          <w:rFonts w:ascii="Calibri" w:hAnsi="Calibri"/>
          <w:b/>
          <w:color w:val="173B5E"/>
          <w:sz w:val="27"/>
        </w:rPr>
        <w:t>Names screened but not classified as project-production lenders</w:t>
      </w:r>
    </w:p>
    <w:p>
      <w:pPr>
        <w:keepLines w:val="0"/>
        <w:spacing w:before="0" w:after="120" w:line="271" w:lineRule="auto"/>
      </w:pPr>
      <w:r>
        <w:rPr>
          <w:rFonts w:ascii="Calibri" w:hAnsi="Calibri"/>
          <w:color w:val="17212B"/>
          <w:sz w:val="21"/>
        </w:rPr>
        <w:t>Bank of America, Morgan Stanley and Truist are major financial institutions with media, entertainment, capital-markets or talent-facing activity. The public evidence reviewed for this guide did not establish a current, clearly described single-production receivables product comparable to the banks above. They are therefore omitted from the principal project-lender matrix. This is an evidence limitation, not a claim that they never provide debt to a media company or participate in a large corporate financing.</w:t>
      </w:r>
    </w:p>
    <w:p>
      <w:pPr>
        <w:pStyle w:val="Heading1"/>
        <w:keepNext/>
        <w:pageBreakBefore w:val="0"/>
      </w:pPr>
      <w:r>
        <w:rPr>
          <w:rFonts w:ascii="Calibri" w:hAnsi="Calibri"/>
          <w:b/>
          <w:color w:val="173B5E"/>
          <w:sz w:val="34"/>
        </w:rPr>
        <w:t>4. Specialty project financiers: collateral fluency and execution speed</w:t>
      </w:r>
    </w:p>
    <w:p>
      <w:pPr>
        <w:keepLines w:val="0"/>
        <w:spacing w:before="0" w:after="120" w:line="271" w:lineRule="auto"/>
      </w:pPr>
      <w:r>
        <w:rPr>
          <w:rFonts w:ascii="Calibri" w:hAnsi="Calibri"/>
          <w:color w:val="17212B"/>
          <w:sz w:val="21"/>
        </w:rPr>
        <w:t>Specialty lenders are often the closest direct comparators for independent film and television loans because their published products are organized around the actual collateral stack: tax incentives, executed pre-sales or minimum guarantees, broadcaster/streamer licenses, bridge takeouts, gap and finishing needs. Their flexibility can improve certainty and speed, but often comes with higher pricing, tighter fees, smaller hold sizes or more bespoke controls.</w:t>
      </w:r>
    </w:p>
    <w:tbl>
      <w:tblPr>
        <w:tblStyle w:val="TableGrid"/>
        <w:tblW w:type="dxa" w:w="9360"/>
        <w:tblLayout w:type="fixed"/>
        <w:tblLook w:firstColumn="1" w:firstRow="1" w:lastColumn="0" w:lastRow="0" w:noHBand="0" w:noVBand="1" w:val="04A0"/>
        <w:jc w:val="left"/>
        <w:tblInd w:w="120" w:type="dxa"/>
      </w:tblPr>
      <w:tblGrid>
        <w:gridCol w:w="1540"/>
        <w:gridCol w:w="3180"/>
        <w:gridCol w:w="2500"/>
        <w:gridCol w:w="2140"/>
      </w:tblGrid>
      <w:tr>
        <w:trPr>
          <w:cantSplit/>
          <w:tblHeader w:val="true"/>
          <w:cantSplit/>
        </w:trPr>
        <w:tc>
          <w:tcPr>
            <w:tcW w:type="dxa" w:w="1540"/>
            <w:tcMar>
              <w:top w:w="90" w:type="dxa"/>
              <w:start w:w="120" w:type="dxa"/>
              <w:bottom w:w="90" w:type="dxa"/>
              <w:end w:w="120" w:type="dxa"/>
            </w:tcMar>
            <w:vAlign w:val="center"/>
            <w:shd w:fill="173B5E"/>
          </w:tcPr>
          <w:p>
            <w:pPr>
              <w:spacing w:after="0" w:line="252" w:lineRule="auto"/>
              <w:jc w:val="center"/>
            </w:pPr>
            <w:r>
              <w:rPr>
                <w:rFonts w:ascii="Calibri" w:hAnsi="Calibri"/>
                <w:b/>
                <w:color w:val="FFFFFF"/>
                <w:sz w:val="16"/>
              </w:rPr>
              <w:t>Financier</w:t>
            </w:r>
          </w:p>
        </w:tc>
        <w:tc>
          <w:tcPr>
            <w:tcW w:type="dxa" w:w="3180"/>
            <w:tcMar>
              <w:top w:w="90" w:type="dxa"/>
              <w:start w:w="120" w:type="dxa"/>
              <w:bottom w:w="90" w:type="dxa"/>
              <w:end w:w="120" w:type="dxa"/>
            </w:tcMar>
            <w:vAlign w:val="center"/>
            <w:shd w:fill="173B5E"/>
          </w:tcPr>
          <w:p>
            <w:pPr>
              <w:spacing w:after="0" w:line="252" w:lineRule="auto"/>
              <w:jc w:val="center"/>
            </w:pPr>
            <w:r>
              <w:rPr>
                <w:rFonts w:ascii="Calibri" w:hAnsi="Calibri"/>
                <w:b/>
                <w:color w:val="FFFFFF"/>
                <w:sz w:val="16"/>
              </w:rPr>
              <w:t>Publicly stated debt scope</w:t>
            </w:r>
          </w:p>
        </w:tc>
        <w:tc>
          <w:tcPr>
            <w:tcW w:type="dxa" w:w="2500"/>
            <w:tcMar>
              <w:top w:w="90" w:type="dxa"/>
              <w:start w:w="120" w:type="dxa"/>
              <w:bottom w:w="90" w:type="dxa"/>
              <w:end w:w="120" w:type="dxa"/>
            </w:tcMar>
            <w:vAlign w:val="center"/>
            <w:shd w:fill="173B5E"/>
          </w:tcPr>
          <w:p>
            <w:pPr>
              <w:spacing w:after="0" w:line="252" w:lineRule="auto"/>
              <w:jc w:val="center"/>
            </w:pPr>
            <w:r>
              <w:rPr>
                <w:rFonts w:ascii="Calibri" w:hAnsi="Calibri"/>
                <w:b/>
                <w:color w:val="FFFFFF"/>
                <w:sz w:val="16"/>
              </w:rPr>
              <w:t>What differentiates the model</w:t>
            </w:r>
          </w:p>
        </w:tc>
        <w:tc>
          <w:tcPr>
            <w:tcW w:type="dxa" w:w="2140"/>
            <w:tcMar>
              <w:top w:w="90" w:type="dxa"/>
              <w:start w:w="120" w:type="dxa"/>
              <w:bottom w:w="90" w:type="dxa"/>
              <w:end w:w="120" w:type="dxa"/>
            </w:tcMar>
            <w:vAlign w:val="center"/>
            <w:shd w:fill="173B5E"/>
          </w:tcPr>
          <w:p>
            <w:pPr>
              <w:spacing w:after="0" w:line="252" w:lineRule="auto"/>
              <w:jc w:val="center"/>
            </w:pPr>
            <w:r>
              <w:rPr>
                <w:rFonts w:ascii="Calibri" w:hAnsi="Calibri"/>
                <w:b/>
                <w:color w:val="FFFFFF"/>
                <w:sz w:val="16"/>
              </w:rPr>
              <w:t>Risk / comparability note</w:t>
            </w:r>
          </w:p>
        </w:tc>
      </w:tr>
      <w:tr>
        <w:trPr>
          <w:cantSplit/>
        </w:trPr>
        <w:tc>
          <w:tcPr>
            <w:tcW w:type="dxa" w:w="1540"/>
            <w:tcMar>
              <w:top w:w="90" w:type="dxa"/>
              <w:start w:w="120" w:type="dxa"/>
              <w:bottom w:w="90" w:type="dxa"/>
              <w:end w:w="120" w:type="dxa"/>
            </w:tcMar>
            <w:vAlign w:val="center"/>
          </w:tcPr>
          <w:p>
            <w:pPr>
              <w:spacing w:after="0" w:line="252" w:lineRule="auto"/>
              <w:jc w:val="left"/>
            </w:pPr>
            <w:r>
              <w:rPr>
                <w:rFonts w:ascii="Calibri" w:hAnsi="Calibri"/>
                <w:b w:val="0"/>
                <w:color w:val="17212B"/>
                <w:sz w:val="15"/>
              </w:rPr>
              <w:t>Media Finance Capital</w:t>
            </w:r>
          </w:p>
        </w:tc>
        <w:tc>
          <w:tcPr>
            <w:tcW w:type="dxa" w:w="3180"/>
            <w:tcMar>
              <w:top w:w="90" w:type="dxa"/>
              <w:start w:w="120" w:type="dxa"/>
              <w:bottom w:w="90" w:type="dxa"/>
              <w:end w:w="120" w:type="dxa"/>
            </w:tcMar>
            <w:vAlign w:val="center"/>
          </w:tcPr>
          <w:p>
            <w:pPr>
              <w:spacing w:after="0" w:line="252" w:lineRule="auto"/>
              <w:jc w:val="left"/>
            </w:pPr>
            <w:r>
              <w:rPr>
                <w:rFonts w:ascii="Calibri" w:hAnsi="Calibri"/>
                <w:b w:val="0"/>
                <w:color w:val="17212B"/>
                <w:sz w:val="15"/>
              </w:rPr>
              <w:t>Debt against public funding, subsidies, pre-sales and broadcaster/streaming license fees</w:t>
            </w:r>
          </w:p>
        </w:tc>
        <w:tc>
          <w:tcPr>
            <w:tcW w:type="dxa" w:w="2500"/>
            <w:tcMar>
              <w:top w:w="90" w:type="dxa"/>
              <w:start w:w="120" w:type="dxa"/>
              <w:bottom w:w="90" w:type="dxa"/>
              <w:end w:w="120" w:type="dxa"/>
            </w:tcMar>
            <w:vAlign w:val="center"/>
          </w:tcPr>
          <w:p>
            <w:pPr>
              <w:spacing w:after="0" w:line="252" w:lineRule="auto"/>
              <w:jc w:val="left"/>
            </w:pPr>
            <w:r>
              <w:rPr>
                <w:rFonts w:ascii="Calibri" w:hAnsi="Calibri"/>
                <w:b w:val="0"/>
                <w:color w:val="17212B"/>
                <w:sz w:val="15"/>
              </w:rPr>
              <w:t>International independent-production receivables focus</w:t>
            </w:r>
          </w:p>
        </w:tc>
        <w:tc>
          <w:tcPr>
            <w:tcW w:type="dxa" w:w="2140"/>
            <w:tcMar>
              <w:top w:w="90" w:type="dxa"/>
              <w:start w:w="120" w:type="dxa"/>
              <w:bottom w:w="90" w:type="dxa"/>
              <w:end w:w="120" w:type="dxa"/>
            </w:tcMar>
            <w:vAlign w:val="center"/>
          </w:tcPr>
          <w:p>
            <w:pPr>
              <w:spacing w:after="0" w:line="252" w:lineRule="auto"/>
              <w:jc w:val="left"/>
            </w:pPr>
            <w:r>
              <w:rPr>
                <w:rFonts w:ascii="Calibri" w:hAnsi="Calibri"/>
                <w:b w:val="0"/>
                <w:color w:val="17212B"/>
                <w:sz w:val="15"/>
              </w:rPr>
              <w:t>Related producing activity can be useful but requires conflict governance</w:t>
            </w:r>
          </w:p>
        </w:tc>
      </w:tr>
      <w:tr>
        <w:trPr>
          <w:cantSplit/>
        </w:trPr>
        <w:tc>
          <w:tcPr>
            <w:tcW w:type="dxa" w:w="154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Aperture Media Partners</w:t>
            </w:r>
          </w:p>
        </w:tc>
        <w:tc>
          <w:tcPr>
            <w:tcW w:type="dxa" w:w="318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Pre-sale, tax-credit, gap/supergap, bridge, finishing, P&amp;A, library and ultimate loans</w:t>
            </w:r>
          </w:p>
        </w:tc>
        <w:tc>
          <w:tcPr>
            <w:tcW w:type="dxa" w:w="250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Very broad project-capital spectrum</w:t>
            </w:r>
          </w:p>
        </w:tc>
        <w:tc>
          <w:tcPr>
            <w:tcW w:type="dxa" w:w="214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Products span senior to highly valuation-dependent risk; do not compare coupons without matching position</w:t>
            </w:r>
          </w:p>
        </w:tc>
      </w:tr>
      <w:tr>
        <w:trPr>
          <w:cantSplit/>
        </w:trPr>
        <w:tc>
          <w:tcPr>
            <w:tcW w:type="dxa" w:w="1540"/>
            <w:tcMar>
              <w:top w:w="90" w:type="dxa"/>
              <w:start w:w="120" w:type="dxa"/>
              <w:bottom w:w="90" w:type="dxa"/>
              <w:end w:w="120" w:type="dxa"/>
            </w:tcMar>
            <w:vAlign w:val="center"/>
          </w:tcPr>
          <w:p>
            <w:pPr>
              <w:spacing w:after="0" w:line="252" w:lineRule="auto"/>
              <w:jc w:val="left"/>
            </w:pPr>
            <w:r>
              <w:rPr>
                <w:rFonts w:ascii="Calibri" w:hAnsi="Calibri"/>
                <w:b w:val="0"/>
                <w:color w:val="17212B"/>
                <w:sz w:val="15"/>
              </w:rPr>
              <w:t>Forest Road / TPC</w:t>
            </w:r>
          </w:p>
        </w:tc>
        <w:tc>
          <w:tcPr>
            <w:tcW w:type="dxa" w:w="3180"/>
            <w:tcMar>
              <w:top w:w="90" w:type="dxa"/>
              <w:start w:w="120" w:type="dxa"/>
              <w:bottom w:w="90" w:type="dxa"/>
              <w:end w:w="120" w:type="dxa"/>
            </w:tcMar>
            <w:vAlign w:val="center"/>
          </w:tcPr>
          <w:p>
            <w:pPr>
              <w:spacing w:after="0" w:line="252" w:lineRule="auto"/>
              <w:jc w:val="left"/>
            </w:pPr>
            <w:r>
              <w:rPr>
                <w:rFonts w:ascii="Calibri" w:hAnsi="Calibri"/>
                <w:b w:val="0"/>
                <w:color w:val="17212B"/>
                <w:sz w:val="15"/>
              </w:rPr>
              <w:t>Tax-incentive, pre-sale and MG lending; digital-media and theatrical revenue solutions</w:t>
            </w:r>
          </w:p>
        </w:tc>
        <w:tc>
          <w:tcPr>
            <w:tcW w:type="dxa" w:w="2500"/>
            <w:tcMar>
              <w:top w:w="90" w:type="dxa"/>
              <w:start w:w="120" w:type="dxa"/>
              <w:bottom w:w="90" w:type="dxa"/>
              <w:end w:w="120" w:type="dxa"/>
            </w:tcMar>
            <w:vAlign w:val="center"/>
          </w:tcPr>
          <w:p>
            <w:pPr>
              <w:spacing w:after="0" w:line="252" w:lineRule="auto"/>
              <w:jc w:val="left"/>
            </w:pPr>
            <w:r>
              <w:rPr>
                <w:rFonts w:ascii="Calibri" w:hAnsi="Calibri"/>
                <w:b w:val="0"/>
                <w:color w:val="17212B"/>
                <w:sz w:val="15"/>
              </w:rPr>
              <w:t>Integrated investment/advisory platform and long-standing TPC lending brand</w:t>
            </w:r>
          </w:p>
        </w:tc>
        <w:tc>
          <w:tcPr>
            <w:tcW w:type="dxa" w:w="2140"/>
            <w:tcMar>
              <w:top w:w="90" w:type="dxa"/>
              <w:start w:w="120" w:type="dxa"/>
              <w:bottom w:w="90" w:type="dxa"/>
              <w:end w:w="120" w:type="dxa"/>
            </w:tcMar>
            <w:vAlign w:val="center"/>
          </w:tcPr>
          <w:p>
            <w:pPr>
              <w:spacing w:after="0" w:line="252" w:lineRule="auto"/>
              <w:jc w:val="left"/>
            </w:pPr>
            <w:r>
              <w:rPr>
                <w:rFonts w:ascii="Calibri" w:hAnsi="Calibri"/>
                <w:b w:val="0"/>
                <w:color w:val="17212B"/>
                <w:sz w:val="15"/>
              </w:rPr>
              <w:t>Treat Forest Road and TPC as one platform relationship, not two separate lenders</w:t>
            </w:r>
          </w:p>
        </w:tc>
      </w:tr>
      <w:tr>
        <w:trPr>
          <w:cantSplit/>
        </w:trPr>
        <w:tc>
          <w:tcPr>
            <w:tcW w:type="dxa" w:w="154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BondIt Media Capital</w:t>
            </w:r>
          </w:p>
        </w:tc>
        <w:tc>
          <w:tcPr>
            <w:tcW w:type="dxa" w:w="318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Senior secured receivables, MGs, tax credits, negative pickups, bridges and selective gap</w:t>
            </w:r>
          </w:p>
        </w:tc>
        <w:tc>
          <w:tcPr>
            <w:tcW w:type="dxa" w:w="250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Explicit debt-only posture and union-deposit financing niche</w:t>
            </w:r>
          </w:p>
        </w:tc>
        <w:tc>
          <w:tcPr>
            <w:tcW w:type="dxa" w:w="214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Gap is described as selective; firm collateral and payor quality remain central</w:t>
            </w:r>
          </w:p>
        </w:tc>
      </w:tr>
      <w:tr>
        <w:trPr>
          <w:cantSplit/>
        </w:trPr>
        <w:tc>
          <w:tcPr>
            <w:tcW w:type="dxa" w:w="1540"/>
            <w:tcMar>
              <w:top w:w="90" w:type="dxa"/>
              <w:start w:w="120" w:type="dxa"/>
              <w:bottom w:w="90" w:type="dxa"/>
              <w:end w:w="120" w:type="dxa"/>
            </w:tcMar>
            <w:vAlign w:val="center"/>
          </w:tcPr>
          <w:p>
            <w:pPr>
              <w:spacing w:after="0" w:line="252" w:lineRule="auto"/>
              <w:jc w:val="left"/>
            </w:pPr>
            <w:r>
              <w:rPr>
                <w:rFonts w:ascii="Calibri" w:hAnsi="Calibri"/>
                <w:b w:val="0"/>
                <w:color w:val="17212B"/>
                <w:sz w:val="15"/>
              </w:rPr>
              <w:t>Head Gear Films</w:t>
            </w:r>
          </w:p>
        </w:tc>
        <w:tc>
          <w:tcPr>
            <w:tcW w:type="dxa" w:w="3180"/>
            <w:tcMar>
              <w:top w:w="90" w:type="dxa"/>
              <w:start w:w="120" w:type="dxa"/>
              <w:bottom w:w="90" w:type="dxa"/>
              <w:end w:w="120" w:type="dxa"/>
            </w:tcMar>
            <w:vAlign w:val="center"/>
          </w:tcPr>
          <w:p>
            <w:pPr>
              <w:spacing w:after="0" w:line="252" w:lineRule="auto"/>
              <w:jc w:val="left"/>
            </w:pPr>
            <w:r>
              <w:rPr>
                <w:rFonts w:ascii="Calibri" w:hAnsi="Calibri"/>
                <w:b w:val="0"/>
                <w:color w:val="17212B"/>
                <w:sz w:val="15"/>
              </w:rPr>
              <w:t>Government-incentive, pre-sale and gap finance</w:t>
            </w:r>
          </w:p>
        </w:tc>
        <w:tc>
          <w:tcPr>
            <w:tcW w:type="dxa" w:w="2500"/>
            <w:tcMar>
              <w:top w:w="90" w:type="dxa"/>
              <w:start w:w="120" w:type="dxa"/>
              <w:bottom w:w="90" w:type="dxa"/>
              <w:end w:w="120" w:type="dxa"/>
            </w:tcMar>
            <w:vAlign w:val="center"/>
          </w:tcPr>
          <w:p>
            <w:pPr>
              <w:spacing w:after="0" w:line="252" w:lineRule="auto"/>
              <w:jc w:val="left"/>
            </w:pPr>
            <w:r>
              <w:rPr>
                <w:rFonts w:ascii="Calibri" w:hAnsi="Calibri"/>
                <w:b w:val="0"/>
                <w:color w:val="17212B"/>
                <w:sz w:val="15"/>
              </w:rPr>
              <w:t>International independent-production focus with packaging/executive-producing support</w:t>
            </w:r>
          </w:p>
        </w:tc>
        <w:tc>
          <w:tcPr>
            <w:tcW w:type="dxa" w:w="2140"/>
            <w:tcMar>
              <w:top w:w="90" w:type="dxa"/>
              <w:start w:w="120" w:type="dxa"/>
              <w:bottom w:w="90" w:type="dxa"/>
              <w:end w:w="120" w:type="dxa"/>
            </w:tcMar>
            <w:vAlign w:val="center"/>
          </w:tcPr>
          <w:p>
            <w:pPr>
              <w:spacing w:after="0" w:line="252" w:lineRule="auto"/>
              <w:jc w:val="left"/>
            </w:pPr>
            <w:r>
              <w:rPr>
                <w:rFonts w:ascii="Calibri" w:hAnsi="Calibri"/>
                <w:b w:val="0"/>
                <w:color w:val="17212B"/>
                <w:sz w:val="15"/>
              </w:rPr>
              <w:t>Integrated roles may add execution value but require fee and conflict transparency</w:t>
            </w:r>
          </w:p>
        </w:tc>
      </w:tr>
    </w:tbl>
    <w:p>
      <w:pPr>
        <w:spacing w:after="40"/>
      </w:pPr>
    </w:p>
    <w:p>
      <w:pPr>
        <w:keepLines w:val="0"/>
        <w:spacing w:before="0" w:after="100" w:line="271" w:lineRule="auto"/>
      </w:pPr>
      <w:r>
        <w:rPr>
          <w:rFonts w:ascii="Calibri" w:hAnsi="Calibri"/>
          <w:b/>
          <w:color w:val="173B5E"/>
          <w:sz w:val="21"/>
        </w:rPr>
        <w:t xml:space="preserve">Media Finance Capital (MFC). </w:t>
      </w:r>
      <w:r>
        <w:rPr>
          <w:rFonts w:ascii="Calibri" w:hAnsi="Calibri"/>
          <w:color w:val="17212B"/>
          <w:sz w:val="21"/>
        </w:rPr>
        <w:t>MFC publicly describes bespoke structured debt against government support, tax credits, grants, pre-sales and broadcaster or streaming license fees. This is classic contracted-receivables financing rather than a general equity mandate.</w:t>
      </w:r>
      <w:r>
        <w:t xml:space="preserve">  </w:t>
      </w:r>
      <w:hyperlink r:id="rId19">
        <w:r>
          <w:rPr>
            <w:rFonts w:ascii="Calibri" w:hAnsi="Calibri"/>
            <w:color w:val="2E6E9E"/>
            <w:u w:val="single"/>
            <w:sz w:val="14"/>
            <w:vertAlign w:val="superscript"/>
          </w:rPr>
          <w:t>[F1]</w:t>
        </w:r>
      </w:hyperlink>
    </w:p>
    <w:p>
      <w:pPr>
        <w:keepLines w:val="0"/>
        <w:spacing w:before="0" w:after="100" w:line="271" w:lineRule="auto"/>
      </w:pPr>
      <w:r>
        <w:rPr>
          <w:rFonts w:ascii="Calibri" w:hAnsi="Calibri"/>
          <w:b/>
          <w:color w:val="173B5E"/>
          <w:sz w:val="21"/>
        </w:rPr>
        <w:t xml:space="preserve">Aperture Media Partners. </w:t>
      </w:r>
      <w:r>
        <w:rPr>
          <w:rFonts w:ascii="Calibri" w:hAnsi="Calibri"/>
          <w:color w:val="17212B"/>
          <w:sz w:val="21"/>
        </w:rPr>
        <w:t>Aperture lists a broad range from tax-credit and pre-sale lending through gap/supergap, bridge and finishing capital, plus P&amp;A, library and ultimate loans. For finance experts, the breadth is the point: “Aperture financing” is not one risk class, and each product must be mapped to lien position and repayment source.</w:t>
      </w:r>
      <w:r>
        <w:t xml:space="preserve">  </w:t>
      </w:r>
      <w:hyperlink r:id="rId20">
        <w:r>
          <w:rPr>
            <w:rFonts w:ascii="Calibri" w:hAnsi="Calibri"/>
            <w:color w:val="2E6E9E"/>
            <w:u w:val="single"/>
            <w:sz w:val="14"/>
            <w:vertAlign w:val="superscript"/>
          </w:rPr>
          <w:t>[F2]</w:t>
        </w:r>
      </w:hyperlink>
    </w:p>
    <w:p>
      <w:pPr>
        <w:keepLines w:val="0"/>
        <w:spacing w:before="0" w:after="100" w:line="271" w:lineRule="auto"/>
      </w:pPr>
      <w:r>
        <w:rPr>
          <w:rFonts w:ascii="Calibri" w:hAnsi="Calibri"/>
          <w:b/>
          <w:color w:val="173B5E"/>
          <w:sz w:val="21"/>
        </w:rPr>
        <w:t xml:space="preserve">Forest Road / TPC. </w:t>
      </w:r>
      <w:r>
        <w:rPr>
          <w:rFonts w:ascii="Calibri" w:hAnsi="Calibri"/>
          <w:color w:val="17212B"/>
          <w:sz w:val="21"/>
        </w:rPr>
        <w:t>Forest Road describes its evolution from tax-credit lending into a wider investment platform. TPC expressly lends against tax incentives, pre-sales and minimum guarantees. The brands should be understood together for market-mapping purposes, while the legal lending vehicle must still be verified deal by deal.</w:t>
      </w:r>
      <w:r>
        <w:t xml:space="preserve">  </w:t>
      </w:r>
      <w:hyperlink r:id="rId21">
        <w:r>
          <w:rPr>
            <w:rFonts w:ascii="Calibri" w:hAnsi="Calibri"/>
            <w:color w:val="2E6E9E"/>
            <w:u w:val="single"/>
            <w:sz w:val="14"/>
            <w:vertAlign w:val="superscript"/>
          </w:rPr>
          <w:t>[F3]</w:t>
        </w:r>
      </w:hyperlink>
      <w:r>
        <w:t xml:space="preserve"> </w:t>
      </w:r>
      <w:hyperlink r:id="rId22">
        <w:r>
          <w:rPr>
            <w:rFonts w:ascii="Calibri" w:hAnsi="Calibri"/>
            <w:color w:val="2E6E9E"/>
            <w:u w:val="single"/>
            <w:sz w:val="14"/>
            <w:vertAlign w:val="superscript"/>
          </w:rPr>
          <w:t>[F4]</w:t>
        </w:r>
      </w:hyperlink>
    </w:p>
    <w:p>
      <w:pPr>
        <w:keepLines w:val="0"/>
        <w:spacing w:before="0" w:after="100" w:line="271" w:lineRule="auto"/>
      </w:pPr>
      <w:r>
        <w:rPr>
          <w:rFonts w:ascii="Calibri" w:hAnsi="Calibri"/>
          <w:b/>
          <w:color w:val="173B5E"/>
          <w:sz w:val="21"/>
        </w:rPr>
        <w:t xml:space="preserve">BondIt Media Capital. </w:t>
      </w:r>
      <w:r>
        <w:rPr>
          <w:rFonts w:ascii="Calibri" w:hAnsi="Calibri"/>
          <w:color w:val="17212B"/>
          <w:sz w:val="21"/>
        </w:rPr>
        <w:t>BondIt describes itself as a senior secured lender against defined collateral such as pre-sales/MGs, tax credits, rebates and negative pickups, with bridge and selective gap products. It states that it does not invest equity, making it easier to separate its lending economics from project-performance participation.</w:t>
      </w:r>
      <w:r>
        <w:t xml:space="preserve">  </w:t>
      </w:r>
      <w:hyperlink r:id="rId23">
        <w:r>
          <w:rPr>
            <w:rFonts w:ascii="Calibri" w:hAnsi="Calibri"/>
            <w:color w:val="2E6E9E"/>
            <w:u w:val="single"/>
            <w:sz w:val="14"/>
            <w:vertAlign w:val="superscript"/>
          </w:rPr>
          <w:t>[F5]</w:t>
        </w:r>
      </w:hyperlink>
    </w:p>
    <w:p>
      <w:pPr>
        <w:keepLines w:val="0"/>
        <w:spacing w:before="0" w:after="100" w:line="271" w:lineRule="auto"/>
      </w:pPr>
      <w:r>
        <w:rPr>
          <w:rFonts w:ascii="Calibri" w:hAnsi="Calibri"/>
          <w:b/>
          <w:color w:val="173B5E"/>
          <w:sz w:val="21"/>
        </w:rPr>
        <w:t xml:space="preserve">Head Gear Films. </w:t>
      </w:r>
      <w:r>
        <w:rPr>
          <w:rFonts w:ascii="Calibri" w:hAnsi="Calibri"/>
          <w:color w:val="17212B"/>
          <w:sz w:val="21"/>
        </w:rPr>
        <w:t>Head Gear publicly describes cashflowing government incentives and pre-sales and providing gap funding. Its packaging and executive-producing capabilities can support execution, but financiers should still separate lending fees, producing economics and control rights.</w:t>
      </w:r>
      <w:r>
        <w:t xml:space="preserve">  </w:t>
      </w:r>
      <w:hyperlink r:id="rId24">
        <w:r>
          <w:rPr>
            <w:rFonts w:ascii="Calibri" w:hAnsi="Calibri"/>
            <w:color w:val="2E6E9E"/>
            <w:u w:val="single"/>
            <w:sz w:val="14"/>
            <w:vertAlign w:val="superscript"/>
          </w:rPr>
          <w:t>[F6]</w:t>
        </w:r>
      </w:hyperlink>
    </w:p>
    <w:p>
      <w:pPr>
        <w:pStyle w:val="Heading1"/>
        <w:keepNext/>
        <w:pageBreakBefore w:val="0"/>
      </w:pPr>
      <w:r>
        <w:rPr>
          <w:rFonts w:ascii="Calibri" w:hAnsi="Calibri"/>
          <w:b/>
          <w:color w:val="173B5E"/>
          <w:sz w:val="34"/>
        </w:rPr>
        <w:t>5. Institutional private credit: larger assets and wider capital stacks</w:t>
      </w:r>
    </w:p>
    <w:p>
      <w:pPr>
        <w:keepLines w:val="0"/>
        <w:spacing w:before="0" w:after="120" w:line="271" w:lineRule="auto"/>
      </w:pPr>
      <w:r>
        <w:rPr>
          <w:rFonts w:ascii="Calibri" w:hAnsi="Calibri"/>
          <w:color w:val="17212B"/>
          <w:sz w:val="21"/>
        </w:rPr>
        <w:t>Institutional managers are important to the media-debt landscape but are not always direct alternatives for a single independent production. Their transactions may be secured by companies, libraries, catalogues, contractual revenues, enterprise value or diversified portfolios. They can provide first-lien, second-lien or mezzanine capital at larger scale, but the underwriting unit and duration may differ sharply from a short-term production receivable.</w:t>
      </w:r>
    </w:p>
    <w:p>
      <w:pPr>
        <w:keepLines w:val="0"/>
        <w:spacing w:before="0" w:after="100" w:line="271" w:lineRule="auto"/>
      </w:pPr>
      <w:r>
        <w:rPr>
          <w:rFonts w:ascii="Calibri" w:hAnsi="Calibri"/>
          <w:b/>
          <w:color w:val="173B5E"/>
          <w:sz w:val="21"/>
        </w:rPr>
        <w:t xml:space="preserve">Ares. </w:t>
      </w:r>
      <w:r>
        <w:rPr>
          <w:rFonts w:ascii="Calibri" w:hAnsi="Calibri"/>
          <w:color w:val="17212B"/>
          <w:sz w:val="21"/>
        </w:rPr>
        <w:t>Ares states that its sports, media and entertainment strategy invests in both debt and equity and that its broader track record includes first-lien, second-lien, mezzanine and equity investments. It is a flexible-capital comparator, not a pure project-loan comparator.</w:t>
      </w:r>
      <w:r>
        <w:t xml:space="preserve">  </w:t>
      </w:r>
      <w:hyperlink r:id="rId25">
        <w:r>
          <w:rPr>
            <w:rFonts w:ascii="Calibri" w:hAnsi="Calibri"/>
            <w:color w:val="2E6E9E"/>
            <w:u w:val="single"/>
            <w:sz w:val="14"/>
            <w:vertAlign w:val="superscript"/>
          </w:rPr>
          <w:t>[F7]</w:t>
        </w:r>
      </w:hyperlink>
    </w:p>
    <w:p>
      <w:pPr>
        <w:keepLines w:val="0"/>
        <w:spacing w:before="0" w:after="100" w:line="271" w:lineRule="auto"/>
      </w:pPr>
      <w:r>
        <w:rPr>
          <w:rFonts w:ascii="Calibri" w:hAnsi="Calibri"/>
          <w:b/>
          <w:color w:val="173B5E"/>
          <w:sz w:val="21"/>
        </w:rPr>
        <w:t xml:space="preserve">Carlyle. </w:t>
      </w:r>
      <w:r>
        <w:rPr>
          <w:rFonts w:ascii="Calibri" w:hAnsi="Calibri"/>
          <w:color w:val="17212B"/>
          <w:sz w:val="21"/>
        </w:rPr>
        <w:t>Carlyle publicly documented a $175 million asset-backed term loan to New Regency, with J.P. Morgan as arranger and administrative agent for the combined facilities. The example demonstrates institutional credit against an established entertainment company and asset base rather than a single independent-film receivable.</w:t>
      </w:r>
      <w:r>
        <w:t xml:space="preserve">  </w:t>
      </w:r>
      <w:hyperlink r:id="rId26">
        <w:r>
          <w:rPr>
            <w:rFonts w:ascii="Calibri" w:hAnsi="Calibri"/>
            <w:color w:val="2E6E9E"/>
            <w:u w:val="single"/>
            <w:sz w:val="14"/>
            <w:vertAlign w:val="superscript"/>
          </w:rPr>
          <w:t>[F8]</w:t>
        </w:r>
      </w:hyperlink>
    </w:p>
    <w:p>
      <w:pPr>
        <w:keepLines w:val="0"/>
        <w:spacing w:before="0" w:after="100" w:line="271" w:lineRule="auto"/>
      </w:pPr>
      <w:r>
        <w:rPr>
          <w:rFonts w:ascii="Calibri" w:hAnsi="Calibri"/>
          <w:b/>
          <w:color w:val="173B5E"/>
          <w:sz w:val="21"/>
        </w:rPr>
        <w:t xml:space="preserve">Domain Capital Group. </w:t>
      </w:r>
      <w:r>
        <w:rPr>
          <w:rFonts w:ascii="Calibri" w:hAnsi="Calibri"/>
          <w:color w:val="17212B"/>
          <w:sz w:val="21"/>
        </w:rPr>
        <w:t>Domain describes a media, entertainment and technology strategy spanning film libraries, television participations, music rights, selected new productions and both debt and equity opportunities. Its mandate therefore overlaps with media credit while extending well beyond production lending.</w:t>
      </w:r>
      <w:r>
        <w:t xml:space="preserve">  </w:t>
      </w:r>
      <w:hyperlink r:id="rId27">
        <w:r>
          <w:rPr>
            <w:rFonts w:ascii="Calibri" w:hAnsi="Calibri"/>
            <w:color w:val="2E6E9E"/>
            <w:u w:val="single"/>
            <w:sz w:val="14"/>
            <w:vertAlign w:val="superscript"/>
          </w:rPr>
          <w:t>[F9]</w:t>
        </w:r>
      </w:hyperlink>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90" w:type="dxa"/>
              <w:start w:w="120" w:type="dxa"/>
              <w:bottom w:w="90" w:type="dxa"/>
              <w:end w:w="120" w:type="dxa"/>
            </w:tcMar>
            <w:vAlign w:val="center"/>
            <w:shd w:fill="F2F4F7"/>
          </w:tcPr>
          <w:p>
            <w:pPr>
              <w:spacing w:after="0" w:line="264" w:lineRule="auto"/>
            </w:pPr>
            <w:r>
              <w:rPr>
                <w:rFonts w:ascii="Calibri" w:hAnsi="Calibri"/>
                <w:b/>
                <w:color w:val="173B5E"/>
                <w:sz w:val="20"/>
              </w:rPr>
              <w:t xml:space="preserve">EQUITY BOUNDARY  </w:t>
            </w:r>
            <w:r>
              <w:rPr>
                <w:rFonts w:ascii="Calibri" w:hAnsi="Calibri"/>
                <w:color w:val="17212B"/>
                <w:sz w:val="20"/>
              </w:rPr>
              <w:t>A firm may be active in media and still be the wrong debt comparator. Equity and co-financing absorb commercial performance risk and participate in upside. Senior credit depends on contractual repayment, collateral and control. Mezzanine sits between them and must be normalized for lien position, cash-pay versus PIK economics, warrants and loss severity before its return is compared with a receivables loan.</w:t>
            </w:r>
          </w:p>
        </w:tc>
      </w:tr>
    </w:tbl>
    <w:p>
      <w:pPr>
        <w:spacing w:after="40"/>
      </w:pPr>
    </w:p>
    <w:p>
      <w:pPr>
        <w:pStyle w:val="Heading1"/>
        <w:keepNext/>
        <w:pageBreakBefore w:val="0"/>
      </w:pPr>
      <w:r>
        <w:rPr>
          <w:rFonts w:ascii="Calibri" w:hAnsi="Calibri"/>
          <w:b/>
          <w:color w:val="173B5E"/>
          <w:sz w:val="34"/>
        </w:rPr>
        <w:t>6. Insurers: named-peril risk transfer, not lending</w:t>
      </w:r>
    </w:p>
    <w:p>
      <w:pPr>
        <w:keepLines w:val="0"/>
        <w:spacing w:before="0" w:after="120" w:line="271" w:lineRule="auto"/>
      </w:pPr>
      <w:r>
        <w:rPr>
          <w:rFonts w:ascii="Calibri" w:hAnsi="Calibri"/>
          <w:color w:val="17212B"/>
          <w:sz w:val="21"/>
        </w:rPr>
        <w:t>Production insurance can be indispensable to a financed production because an uninsured cast loss, damaged set, equipment failure or interruption can create a cost-to-complete deficit. But insurance does not itself fund the production and does not generally guarantee delivery. Coverage depends on the policy wording, declared persons and property, exclusions, deductibles, limits, notice and proof requirements. “Insured by a major name” is therefore not a substitute for reviewing the issuing entity and endorsements.</w:t>
      </w:r>
    </w:p>
    <w:tbl>
      <w:tblPr>
        <w:tblStyle w:val="TableGrid"/>
        <w:tblW w:type="dxa" w:w="9360"/>
        <w:tblLayout w:type="fixed"/>
        <w:tblLook w:firstColumn="1" w:firstRow="1" w:lastColumn="0" w:lastRow="0" w:noHBand="0" w:noVBand="1" w:val="04A0"/>
        <w:jc w:val="left"/>
        <w:tblInd w:w="120" w:type="dxa"/>
      </w:tblPr>
      <w:tblGrid>
        <w:gridCol w:w="1450"/>
        <w:gridCol w:w="3180"/>
        <w:gridCol w:w="2550"/>
        <w:gridCol w:w="2180"/>
      </w:tblGrid>
      <w:tr>
        <w:trPr>
          <w:cantSplit/>
          <w:tblHeader w:val="true"/>
          <w:cantSplit/>
        </w:trPr>
        <w:tc>
          <w:tcPr>
            <w:tcW w:type="dxa" w:w="1450"/>
            <w:tcMar>
              <w:top w:w="90" w:type="dxa"/>
              <w:start w:w="120" w:type="dxa"/>
              <w:bottom w:w="90" w:type="dxa"/>
              <w:end w:w="120" w:type="dxa"/>
            </w:tcMar>
            <w:vAlign w:val="center"/>
            <w:shd w:fill="173B5E"/>
          </w:tcPr>
          <w:p>
            <w:pPr>
              <w:spacing w:after="0" w:line="252" w:lineRule="auto"/>
              <w:jc w:val="center"/>
            </w:pPr>
            <w:r>
              <w:rPr>
                <w:rFonts w:ascii="Calibri" w:hAnsi="Calibri"/>
                <w:b/>
                <w:color w:val="FFFFFF"/>
                <w:sz w:val="16"/>
              </w:rPr>
              <w:t>Insurance platform</w:t>
            </w:r>
          </w:p>
        </w:tc>
        <w:tc>
          <w:tcPr>
            <w:tcW w:type="dxa" w:w="3180"/>
            <w:tcMar>
              <w:top w:w="90" w:type="dxa"/>
              <w:start w:w="120" w:type="dxa"/>
              <w:bottom w:w="90" w:type="dxa"/>
              <w:end w:w="120" w:type="dxa"/>
            </w:tcMar>
            <w:vAlign w:val="center"/>
            <w:shd w:fill="173B5E"/>
          </w:tcPr>
          <w:p>
            <w:pPr>
              <w:spacing w:after="0" w:line="252" w:lineRule="auto"/>
              <w:jc w:val="center"/>
            </w:pPr>
            <w:r>
              <w:rPr>
                <w:rFonts w:ascii="Calibri" w:hAnsi="Calibri"/>
                <w:b/>
                <w:color w:val="FFFFFF"/>
                <w:sz w:val="16"/>
              </w:rPr>
              <w:t>Publicly evidenced media role</w:t>
            </w:r>
          </w:p>
        </w:tc>
        <w:tc>
          <w:tcPr>
            <w:tcW w:type="dxa" w:w="2550"/>
            <w:tcMar>
              <w:top w:w="90" w:type="dxa"/>
              <w:start w:w="120" w:type="dxa"/>
              <w:bottom w:w="90" w:type="dxa"/>
              <w:end w:w="120" w:type="dxa"/>
            </w:tcMar>
            <w:vAlign w:val="center"/>
            <w:shd w:fill="173B5E"/>
          </w:tcPr>
          <w:p>
            <w:pPr>
              <w:spacing w:after="0" w:line="252" w:lineRule="auto"/>
              <w:jc w:val="center"/>
            </w:pPr>
            <w:r>
              <w:rPr>
                <w:rFonts w:ascii="Calibri" w:hAnsi="Calibri"/>
                <w:b/>
                <w:color w:val="FFFFFF"/>
                <w:sz w:val="16"/>
              </w:rPr>
              <w:t>Financier relevance</w:t>
            </w:r>
          </w:p>
        </w:tc>
        <w:tc>
          <w:tcPr>
            <w:tcW w:type="dxa" w:w="2180"/>
            <w:tcMar>
              <w:top w:w="90" w:type="dxa"/>
              <w:start w:w="120" w:type="dxa"/>
              <w:bottom w:w="90" w:type="dxa"/>
              <w:end w:w="120" w:type="dxa"/>
            </w:tcMar>
            <w:vAlign w:val="center"/>
            <w:shd w:fill="173B5E"/>
          </w:tcPr>
          <w:p>
            <w:pPr>
              <w:spacing w:after="0" w:line="252" w:lineRule="auto"/>
              <w:jc w:val="center"/>
            </w:pPr>
            <w:r>
              <w:rPr>
                <w:rFonts w:ascii="Calibri" w:hAnsi="Calibri"/>
                <w:b/>
                <w:color w:val="FFFFFF"/>
                <w:sz w:val="16"/>
              </w:rPr>
              <w:t>Critical classification point</w:t>
            </w:r>
          </w:p>
        </w:tc>
      </w:tr>
      <w:tr>
        <w:trPr>
          <w:cantSplit/>
        </w:trPr>
        <w:tc>
          <w:tcPr>
            <w:tcW w:type="dxa" w:w="1450"/>
            <w:tcMar>
              <w:top w:w="90" w:type="dxa"/>
              <w:start w:w="120" w:type="dxa"/>
              <w:bottom w:w="90" w:type="dxa"/>
              <w:end w:w="120" w:type="dxa"/>
            </w:tcMar>
            <w:vAlign w:val="center"/>
          </w:tcPr>
          <w:p>
            <w:pPr>
              <w:spacing w:after="0" w:line="252" w:lineRule="auto"/>
              <w:jc w:val="left"/>
            </w:pPr>
            <w:r>
              <w:rPr>
                <w:rFonts w:ascii="Calibri" w:hAnsi="Calibri"/>
                <w:b w:val="0"/>
                <w:color w:val="17212B"/>
                <w:sz w:val="15"/>
              </w:rPr>
              <w:t>Lloyd's market</w:t>
            </w:r>
          </w:p>
        </w:tc>
        <w:tc>
          <w:tcPr>
            <w:tcW w:type="dxa" w:w="3180"/>
            <w:tcMar>
              <w:top w:w="90" w:type="dxa"/>
              <w:start w:w="120" w:type="dxa"/>
              <w:bottom w:w="90" w:type="dxa"/>
              <w:end w:w="120" w:type="dxa"/>
            </w:tcMar>
            <w:vAlign w:val="center"/>
          </w:tcPr>
          <w:p>
            <w:pPr>
              <w:spacing w:after="0" w:line="252" w:lineRule="auto"/>
              <w:jc w:val="left"/>
            </w:pPr>
            <w:r>
              <w:rPr>
                <w:rFonts w:ascii="Calibri" w:hAnsi="Calibri"/>
                <w:b w:val="0"/>
                <w:color w:val="17212B"/>
                <w:sz w:val="15"/>
              </w:rPr>
              <w:t>Marketplace through which syndicates underwrite specialty risks, including film/media books</w:t>
            </w:r>
          </w:p>
        </w:tc>
        <w:tc>
          <w:tcPr>
            <w:tcW w:type="dxa" w:w="2550"/>
            <w:tcMar>
              <w:top w:w="90" w:type="dxa"/>
              <w:start w:w="120" w:type="dxa"/>
              <w:bottom w:w="90" w:type="dxa"/>
              <w:end w:w="120" w:type="dxa"/>
            </w:tcMar>
            <w:vAlign w:val="center"/>
          </w:tcPr>
          <w:p>
            <w:pPr>
              <w:spacing w:after="0" w:line="252" w:lineRule="auto"/>
              <w:jc w:val="left"/>
            </w:pPr>
            <w:r>
              <w:rPr>
                <w:rFonts w:ascii="Calibri" w:hAnsi="Calibri"/>
                <w:b w:val="0"/>
                <w:color w:val="17212B"/>
                <w:sz w:val="15"/>
              </w:rPr>
              <w:t>Can provide specialized or subscription capacity for unusual production risks</w:t>
            </w:r>
          </w:p>
        </w:tc>
        <w:tc>
          <w:tcPr>
            <w:tcW w:type="dxa" w:w="2180"/>
            <w:tcMar>
              <w:top w:w="90" w:type="dxa"/>
              <w:start w:w="120" w:type="dxa"/>
              <w:bottom w:w="90" w:type="dxa"/>
              <w:end w:w="120" w:type="dxa"/>
            </w:tcMar>
            <w:vAlign w:val="center"/>
          </w:tcPr>
          <w:p>
            <w:pPr>
              <w:spacing w:after="0" w:line="252" w:lineRule="auto"/>
              <w:jc w:val="left"/>
            </w:pPr>
            <w:r>
              <w:rPr>
                <w:rFonts w:ascii="Calibri" w:hAnsi="Calibri"/>
                <w:b w:val="0"/>
                <w:color w:val="17212B"/>
                <w:sz w:val="15"/>
              </w:rPr>
              <w:t>Lloyd's is a market, not one insurer; identify syndicate, managing agent, shares and claims authority</w:t>
            </w:r>
          </w:p>
        </w:tc>
      </w:tr>
      <w:tr>
        <w:trPr>
          <w:cantSplit/>
        </w:trPr>
        <w:tc>
          <w:tcPr>
            <w:tcW w:type="dxa" w:w="145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Allianz Commercial</w:t>
            </w:r>
          </w:p>
        </w:tc>
        <w:tc>
          <w:tcPr>
            <w:tcW w:type="dxa" w:w="318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Film/TV production and broader entertainment insurance outside the transferred U.S. book</w:t>
            </w:r>
          </w:p>
        </w:tc>
        <w:tc>
          <w:tcPr>
            <w:tcW w:type="dxa" w:w="255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Large global specialty capability and production-risk expertise</w:t>
            </w:r>
          </w:p>
        </w:tc>
        <w:tc>
          <w:tcPr>
            <w:tcW w:type="dxa" w:w="218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Allianz sold its U.S. MidCorp and Entertainment operations to Arch in August 2024</w:t>
            </w:r>
          </w:p>
        </w:tc>
      </w:tr>
      <w:tr>
        <w:trPr>
          <w:cantSplit/>
        </w:trPr>
        <w:tc>
          <w:tcPr>
            <w:tcW w:type="dxa" w:w="1450"/>
            <w:tcMar>
              <w:top w:w="90" w:type="dxa"/>
              <w:start w:w="120" w:type="dxa"/>
              <w:bottom w:w="90" w:type="dxa"/>
              <w:end w:w="120" w:type="dxa"/>
            </w:tcMar>
            <w:vAlign w:val="center"/>
          </w:tcPr>
          <w:p>
            <w:pPr>
              <w:spacing w:after="0" w:line="252" w:lineRule="auto"/>
              <w:jc w:val="left"/>
            </w:pPr>
            <w:r>
              <w:rPr>
                <w:rFonts w:ascii="Calibri" w:hAnsi="Calibri"/>
                <w:b w:val="0"/>
                <w:color w:val="17212B"/>
                <w:sz w:val="15"/>
              </w:rPr>
              <w:t>Arch</w:t>
            </w:r>
          </w:p>
        </w:tc>
        <w:tc>
          <w:tcPr>
            <w:tcW w:type="dxa" w:w="3180"/>
            <w:tcMar>
              <w:top w:w="90" w:type="dxa"/>
              <w:start w:w="120" w:type="dxa"/>
              <w:bottom w:w="90" w:type="dxa"/>
              <w:end w:w="120" w:type="dxa"/>
            </w:tcMar>
            <w:vAlign w:val="center"/>
          </w:tcPr>
          <w:p>
            <w:pPr>
              <w:spacing w:after="0" w:line="252" w:lineRule="auto"/>
              <w:jc w:val="left"/>
            </w:pPr>
            <w:r>
              <w:rPr>
                <w:rFonts w:ascii="Calibri" w:hAnsi="Calibri"/>
                <w:b w:val="0"/>
                <w:color w:val="17212B"/>
                <w:sz w:val="15"/>
              </w:rPr>
              <w:t>Current film, television and streaming production entertainment coverage in North America</w:t>
            </w:r>
          </w:p>
        </w:tc>
        <w:tc>
          <w:tcPr>
            <w:tcW w:type="dxa" w:w="2550"/>
            <w:tcMar>
              <w:top w:w="90" w:type="dxa"/>
              <w:start w:w="120" w:type="dxa"/>
              <w:bottom w:w="90" w:type="dxa"/>
              <w:end w:w="120" w:type="dxa"/>
            </w:tcMar>
            <w:vAlign w:val="center"/>
          </w:tcPr>
          <w:p>
            <w:pPr>
              <w:spacing w:after="0" w:line="252" w:lineRule="auto"/>
              <w:jc w:val="left"/>
            </w:pPr>
            <w:r>
              <w:rPr>
                <w:rFonts w:ascii="Calibri" w:hAnsi="Calibri"/>
                <w:b w:val="0"/>
                <w:color w:val="17212B"/>
                <w:sz w:val="15"/>
              </w:rPr>
              <w:t>Cast, crew, equipment, budget and production-delay protection as written</w:t>
            </w:r>
          </w:p>
        </w:tc>
        <w:tc>
          <w:tcPr>
            <w:tcW w:type="dxa" w:w="2180"/>
            <w:tcMar>
              <w:top w:w="90" w:type="dxa"/>
              <w:start w:w="120" w:type="dxa"/>
              <w:bottom w:w="90" w:type="dxa"/>
              <w:end w:w="120" w:type="dxa"/>
            </w:tcMar>
            <w:vAlign w:val="center"/>
          </w:tcPr>
          <w:p>
            <w:pPr>
              <w:spacing w:after="0" w:line="252" w:lineRule="auto"/>
              <w:jc w:val="left"/>
            </w:pPr>
            <w:r>
              <w:rPr>
                <w:rFonts w:ascii="Calibri" w:hAnsi="Calibri"/>
                <w:b w:val="0"/>
                <w:color w:val="17212B"/>
                <w:sz w:val="15"/>
              </w:rPr>
              <w:t>Current U.S. successor to the acquired Allianz/Fireman's Fund entertainment operations</w:t>
            </w:r>
          </w:p>
        </w:tc>
      </w:tr>
      <w:tr>
        <w:trPr>
          <w:cantSplit/>
        </w:trPr>
        <w:tc>
          <w:tcPr>
            <w:tcW w:type="dxa" w:w="145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AXA XL</w:t>
            </w:r>
          </w:p>
        </w:tc>
        <w:tc>
          <w:tcPr>
            <w:tcW w:type="dxa" w:w="318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Tailored media and entertainment insurance for film productions and live events</w:t>
            </w:r>
          </w:p>
        </w:tc>
        <w:tc>
          <w:tcPr>
            <w:tcW w:type="dxa" w:w="255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Production package, property, cast and other bespoke risk transfer</w:t>
            </w:r>
          </w:p>
        </w:tc>
        <w:tc>
          <w:tcPr>
            <w:tcW w:type="dxa" w:w="218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Policy scope is event-specific; not a completion or receivables guarantee</w:t>
            </w:r>
          </w:p>
        </w:tc>
      </w:tr>
      <w:tr>
        <w:trPr>
          <w:cantSplit/>
        </w:trPr>
        <w:tc>
          <w:tcPr>
            <w:tcW w:type="dxa" w:w="1450"/>
            <w:tcMar>
              <w:top w:w="90" w:type="dxa"/>
              <w:start w:w="120" w:type="dxa"/>
              <w:bottom w:w="90" w:type="dxa"/>
              <w:end w:w="120" w:type="dxa"/>
            </w:tcMar>
            <w:vAlign w:val="center"/>
          </w:tcPr>
          <w:p>
            <w:pPr>
              <w:spacing w:after="0" w:line="252" w:lineRule="auto"/>
              <w:jc w:val="left"/>
            </w:pPr>
            <w:r>
              <w:rPr>
                <w:rFonts w:ascii="Calibri" w:hAnsi="Calibri"/>
                <w:b w:val="0"/>
                <w:color w:val="17212B"/>
                <w:sz w:val="15"/>
              </w:rPr>
              <w:t>Chubb</w:t>
            </w:r>
          </w:p>
        </w:tc>
        <w:tc>
          <w:tcPr>
            <w:tcW w:type="dxa" w:w="3180"/>
            <w:tcMar>
              <w:top w:w="90" w:type="dxa"/>
              <w:start w:w="120" w:type="dxa"/>
              <w:bottom w:w="90" w:type="dxa"/>
              <w:end w:w="120" w:type="dxa"/>
            </w:tcMar>
            <w:vAlign w:val="center"/>
          </w:tcPr>
          <w:p>
            <w:pPr>
              <w:spacing w:after="0" w:line="252" w:lineRule="auto"/>
              <w:jc w:val="left"/>
            </w:pPr>
            <w:r>
              <w:rPr>
                <w:rFonts w:ascii="Calibri" w:hAnsi="Calibri"/>
                <w:b w:val="0"/>
                <w:color w:val="17212B"/>
                <w:sz w:val="15"/>
              </w:rPr>
              <w:t>Long-standing film-production insurance for features, television, commercials and documentaries</w:t>
            </w:r>
          </w:p>
        </w:tc>
        <w:tc>
          <w:tcPr>
            <w:tcW w:type="dxa" w:w="2550"/>
            <w:tcMar>
              <w:top w:w="90" w:type="dxa"/>
              <w:start w:w="120" w:type="dxa"/>
              <w:bottom w:w="90" w:type="dxa"/>
              <w:end w:w="120" w:type="dxa"/>
            </w:tcMar>
            <w:vAlign w:val="center"/>
          </w:tcPr>
          <w:p>
            <w:pPr>
              <w:spacing w:after="0" w:line="252" w:lineRule="auto"/>
              <w:jc w:val="left"/>
            </w:pPr>
            <w:r>
              <w:rPr>
                <w:rFonts w:ascii="Calibri" w:hAnsi="Calibri"/>
                <w:b w:val="0"/>
                <w:color w:val="17212B"/>
                <w:sz w:val="15"/>
              </w:rPr>
              <w:t>Production delay, property/casualty and related specialty protection</w:t>
            </w:r>
          </w:p>
        </w:tc>
        <w:tc>
          <w:tcPr>
            <w:tcW w:type="dxa" w:w="2180"/>
            <w:tcMar>
              <w:top w:w="90" w:type="dxa"/>
              <w:start w:w="120" w:type="dxa"/>
              <w:bottom w:w="90" w:type="dxa"/>
              <w:end w:w="120" w:type="dxa"/>
            </w:tcMar>
            <w:vAlign w:val="center"/>
          </w:tcPr>
          <w:p>
            <w:pPr>
              <w:spacing w:after="0" w:line="252" w:lineRule="auto"/>
              <w:jc w:val="left"/>
            </w:pPr>
            <w:r>
              <w:rPr>
                <w:rFonts w:ascii="Calibri" w:hAnsi="Calibri"/>
                <w:b w:val="0"/>
                <w:color w:val="17212B"/>
                <w:sz w:val="15"/>
              </w:rPr>
              <w:t>Coverage triggers and limits remain policy-specific</w:t>
            </w:r>
          </w:p>
        </w:tc>
      </w:tr>
      <w:tr>
        <w:trPr>
          <w:cantSplit/>
        </w:trPr>
        <w:tc>
          <w:tcPr>
            <w:tcW w:type="dxa" w:w="145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Intact Specialty</w:t>
            </w:r>
          </w:p>
        </w:tc>
        <w:tc>
          <w:tcPr>
            <w:tcW w:type="dxa" w:w="318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Film/TV production packages, operational coverages and contingency</w:t>
            </w:r>
          </w:p>
        </w:tc>
        <w:tc>
          <w:tcPr>
            <w:tcW w:type="dxa" w:w="255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Production insurance plus group relationship to UniFi's disclosed North American bond carriers</w:t>
            </w:r>
          </w:p>
        </w:tc>
        <w:tc>
          <w:tcPr>
            <w:tcW w:type="dxa" w:w="218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Insurance policy and completion guaranty remain separate contracts</w:t>
            </w:r>
          </w:p>
        </w:tc>
      </w:tr>
      <w:tr>
        <w:trPr>
          <w:cantSplit/>
        </w:trPr>
        <w:tc>
          <w:tcPr>
            <w:tcW w:type="dxa" w:w="1450"/>
            <w:tcMar>
              <w:top w:w="90" w:type="dxa"/>
              <w:start w:w="120" w:type="dxa"/>
              <w:bottom w:w="90" w:type="dxa"/>
              <w:end w:w="120" w:type="dxa"/>
            </w:tcMar>
            <w:vAlign w:val="center"/>
          </w:tcPr>
          <w:p>
            <w:pPr>
              <w:spacing w:after="0" w:line="252" w:lineRule="auto"/>
              <w:jc w:val="left"/>
            </w:pPr>
            <w:r>
              <w:rPr>
                <w:rFonts w:ascii="Calibri" w:hAnsi="Calibri"/>
                <w:b w:val="0"/>
                <w:color w:val="17212B"/>
                <w:sz w:val="15"/>
              </w:rPr>
              <w:t>Munich Re</w:t>
            </w:r>
          </w:p>
        </w:tc>
        <w:tc>
          <w:tcPr>
            <w:tcW w:type="dxa" w:w="3180"/>
            <w:tcMar>
              <w:top w:w="90" w:type="dxa"/>
              <w:start w:w="120" w:type="dxa"/>
              <w:bottom w:w="90" w:type="dxa"/>
              <w:end w:w="120" w:type="dxa"/>
            </w:tcMar>
            <w:vAlign w:val="center"/>
          </w:tcPr>
          <w:p>
            <w:pPr>
              <w:spacing w:after="0" w:line="252" w:lineRule="auto"/>
              <w:jc w:val="left"/>
            </w:pPr>
            <w:r>
              <w:rPr>
                <w:rFonts w:ascii="Calibri" w:hAnsi="Calibri"/>
                <w:b w:val="0"/>
                <w:color w:val="17212B"/>
                <w:sz w:val="15"/>
              </w:rPr>
              <w:t>Contingency/reinsurance capability and disclosed capacity behind Intectus products</w:t>
            </w:r>
          </w:p>
        </w:tc>
        <w:tc>
          <w:tcPr>
            <w:tcW w:type="dxa" w:w="2550"/>
            <w:tcMar>
              <w:top w:w="90" w:type="dxa"/>
              <w:start w:w="120" w:type="dxa"/>
              <w:bottom w:w="90" w:type="dxa"/>
              <w:end w:w="120" w:type="dxa"/>
            </w:tcMar>
            <w:vAlign w:val="center"/>
          </w:tcPr>
          <w:p>
            <w:pPr>
              <w:spacing w:after="0" w:line="252" w:lineRule="auto"/>
              <w:jc w:val="left"/>
            </w:pPr>
            <w:r>
              <w:rPr>
                <w:rFonts w:ascii="Calibri" w:hAnsi="Calibri"/>
                <w:b w:val="0"/>
                <w:color w:val="17212B"/>
                <w:sz w:val="15"/>
              </w:rPr>
              <w:t>Financial capacity and reinsurance can support risk transfer</w:t>
            </w:r>
          </w:p>
        </w:tc>
        <w:tc>
          <w:tcPr>
            <w:tcW w:type="dxa" w:w="2180"/>
            <w:tcMar>
              <w:top w:w="90" w:type="dxa"/>
              <w:start w:w="120" w:type="dxa"/>
              <w:bottom w:w="90" w:type="dxa"/>
              <w:end w:w="120" w:type="dxa"/>
            </w:tcMar>
            <w:vAlign w:val="center"/>
          </w:tcPr>
          <w:p>
            <w:pPr>
              <w:spacing w:after="0" w:line="252" w:lineRule="auto"/>
              <w:jc w:val="left"/>
            </w:pPr>
            <w:r>
              <w:rPr>
                <w:rFonts w:ascii="Calibri" w:hAnsi="Calibri"/>
                <w:b w:val="0"/>
                <w:color w:val="17212B"/>
                <w:sz w:val="15"/>
              </w:rPr>
              <w:t>Reinsurer/capacity role is not identical to direct policyholder privity</w:t>
            </w:r>
          </w:p>
        </w:tc>
      </w:tr>
    </w:tbl>
    <w:p>
      <w:pPr>
        <w:spacing w:after="40"/>
      </w:pPr>
    </w:p>
    <w:p>
      <w:pPr>
        <w:keepLines w:val="0"/>
        <w:spacing w:before="0" w:after="100" w:line="271" w:lineRule="auto"/>
      </w:pPr>
      <w:r>
        <w:rPr>
          <w:rFonts w:ascii="Calibri" w:hAnsi="Calibri"/>
          <w:b/>
          <w:color w:val="173B5E"/>
          <w:sz w:val="21"/>
        </w:rPr>
        <w:t xml:space="preserve">Lloyd's. </w:t>
      </w:r>
      <w:r>
        <w:rPr>
          <w:rFonts w:ascii="Calibri" w:hAnsi="Calibri"/>
          <w:color w:val="17212B"/>
          <w:sz w:val="21"/>
        </w:rPr>
        <w:t>Lloyd's is the marketplace and supervisory infrastructure through which syndicates and managing agents underwrite; it is not itself the single risk carrier on a production. Public Lloyd's materials show specialist film and media insurance activity within syndicates. A financier should identify the subscribed shares, several-versus-joint liability, claims authority and security of each participating carrier.</w:t>
      </w:r>
      <w:r>
        <w:t xml:space="preserve">  </w:t>
      </w:r>
      <w:hyperlink r:id="rId28">
        <w:r>
          <w:rPr>
            <w:rFonts w:ascii="Calibri" w:hAnsi="Calibri"/>
            <w:color w:val="2E6E9E"/>
            <w:u w:val="single"/>
            <w:sz w:val="14"/>
            <w:vertAlign w:val="superscript"/>
          </w:rPr>
          <w:t>[I1]</w:t>
        </w:r>
      </w:hyperlink>
      <w:r>
        <w:t xml:space="preserve"> </w:t>
      </w:r>
      <w:hyperlink r:id="rId29">
        <w:r>
          <w:rPr>
            <w:rFonts w:ascii="Calibri" w:hAnsi="Calibri"/>
            <w:color w:val="2E6E9E"/>
            <w:u w:val="single"/>
            <w:sz w:val="14"/>
            <w:vertAlign w:val="superscript"/>
          </w:rPr>
          <w:t>[I2]</w:t>
        </w:r>
      </w:hyperlink>
    </w:p>
    <w:p>
      <w:pPr>
        <w:keepLines w:val="0"/>
        <w:spacing w:before="0" w:after="100" w:line="271" w:lineRule="auto"/>
      </w:pPr>
      <w:r>
        <w:rPr>
          <w:rFonts w:ascii="Calibri" w:hAnsi="Calibri"/>
          <w:b/>
          <w:color w:val="173B5E"/>
          <w:sz w:val="21"/>
        </w:rPr>
        <w:t xml:space="preserve">Allianz Commercial and Arch. </w:t>
      </w:r>
      <w:r>
        <w:rPr>
          <w:rFonts w:ascii="Calibri" w:hAnsi="Calibri"/>
          <w:color w:val="17212B"/>
          <w:sz w:val="21"/>
        </w:rPr>
        <w:t>Allianz continues to publish global entertainment-insurance capabilities, but it completed the transfer of its U.S. MidCorp and Entertainment insurance businesses to Arch on August 1, 2024. Arch now publicly markets specialized North American production entertainment coverage. Geography and issuing entity therefore matter more than the legacy brand association.</w:t>
      </w:r>
      <w:r>
        <w:t xml:space="preserve">  </w:t>
      </w:r>
      <w:hyperlink r:id="rId30">
        <w:r>
          <w:rPr>
            <w:rFonts w:ascii="Calibri" w:hAnsi="Calibri"/>
            <w:color w:val="2E6E9E"/>
            <w:u w:val="single"/>
            <w:sz w:val="14"/>
            <w:vertAlign w:val="superscript"/>
          </w:rPr>
          <w:t>[I3]</w:t>
        </w:r>
      </w:hyperlink>
      <w:r>
        <w:t xml:space="preserve"> </w:t>
      </w:r>
      <w:hyperlink r:id="rId31">
        <w:r>
          <w:rPr>
            <w:rFonts w:ascii="Calibri" w:hAnsi="Calibri"/>
            <w:color w:val="2E6E9E"/>
            <w:u w:val="single"/>
            <w:sz w:val="14"/>
            <w:vertAlign w:val="superscript"/>
          </w:rPr>
          <w:t>[I4]</w:t>
        </w:r>
      </w:hyperlink>
      <w:r>
        <w:t xml:space="preserve"> </w:t>
      </w:r>
      <w:hyperlink r:id="rId32">
        <w:r>
          <w:rPr>
            <w:rFonts w:ascii="Calibri" w:hAnsi="Calibri"/>
            <w:color w:val="2E6E9E"/>
            <w:u w:val="single"/>
            <w:sz w:val="14"/>
            <w:vertAlign w:val="superscript"/>
          </w:rPr>
          <w:t>[I5]</w:t>
        </w:r>
      </w:hyperlink>
    </w:p>
    <w:p>
      <w:pPr>
        <w:keepLines w:val="0"/>
        <w:spacing w:before="0" w:after="100" w:line="271" w:lineRule="auto"/>
      </w:pPr>
      <w:r>
        <w:rPr>
          <w:rFonts w:ascii="Calibri" w:hAnsi="Calibri"/>
          <w:b/>
          <w:color w:val="173B5E"/>
          <w:sz w:val="21"/>
        </w:rPr>
        <w:t xml:space="preserve">AXA XL. </w:t>
      </w:r>
      <w:r>
        <w:rPr>
          <w:rFonts w:ascii="Calibri" w:hAnsi="Calibri"/>
          <w:color w:val="17212B"/>
          <w:sz w:val="21"/>
        </w:rPr>
        <w:t>AXA XL publicly offers tailored media and entertainment insurance for film productions and live events. Its materials discuss cast, property, equipment, interruption and related exposures. Those are important cost-to-complete mitigants, but they remain named-peril insurance rather than a blanket delivery promise.</w:t>
      </w:r>
      <w:r>
        <w:t xml:space="preserve">  </w:t>
      </w:r>
      <w:hyperlink r:id="rId33">
        <w:r>
          <w:rPr>
            <w:rFonts w:ascii="Calibri" w:hAnsi="Calibri"/>
            <w:color w:val="2E6E9E"/>
            <w:u w:val="single"/>
            <w:sz w:val="14"/>
            <w:vertAlign w:val="superscript"/>
          </w:rPr>
          <w:t>[I6]</w:t>
        </w:r>
      </w:hyperlink>
    </w:p>
    <w:p>
      <w:pPr>
        <w:keepLines w:val="0"/>
        <w:spacing w:before="0" w:after="100" w:line="271" w:lineRule="auto"/>
      </w:pPr>
      <w:r>
        <w:rPr>
          <w:rFonts w:ascii="Calibri" w:hAnsi="Calibri"/>
          <w:b/>
          <w:color w:val="173B5E"/>
          <w:sz w:val="21"/>
        </w:rPr>
        <w:t xml:space="preserve">Chubb. </w:t>
      </w:r>
      <w:r>
        <w:rPr>
          <w:rFonts w:ascii="Calibri" w:hAnsi="Calibri"/>
          <w:color w:val="17212B"/>
          <w:sz w:val="21"/>
        </w:rPr>
        <w:t>Chubb states that it has underwritten film productions for more than 40 years and identifies features, television, commercials and documentaries within its production-insurance scope. The financier should still test declared cast, extra-expense treatment, deductibles, exclusions and loss-payee/additional-insured endorsements.</w:t>
      </w:r>
      <w:r>
        <w:t xml:space="preserve">  </w:t>
      </w:r>
      <w:hyperlink r:id="rId34">
        <w:r>
          <w:rPr>
            <w:rFonts w:ascii="Calibri" w:hAnsi="Calibri"/>
            <w:color w:val="2E6E9E"/>
            <w:u w:val="single"/>
            <w:sz w:val="14"/>
            <w:vertAlign w:val="superscript"/>
          </w:rPr>
          <w:t>[I7]</w:t>
        </w:r>
      </w:hyperlink>
    </w:p>
    <w:p>
      <w:pPr>
        <w:keepLines w:val="0"/>
        <w:spacing w:before="0" w:after="100" w:line="271" w:lineRule="auto"/>
      </w:pPr>
      <w:r>
        <w:rPr>
          <w:rFonts w:ascii="Calibri" w:hAnsi="Calibri"/>
          <w:b/>
          <w:color w:val="173B5E"/>
          <w:sz w:val="21"/>
        </w:rPr>
        <w:t xml:space="preserve">Intact Specialty. </w:t>
      </w:r>
      <w:r>
        <w:rPr>
          <w:rFonts w:ascii="Calibri" w:hAnsi="Calibri"/>
          <w:color w:val="17212B"/>
          <w:sz w:val="21"/>
        </w:rPr>
        <w:t>Intact describes production and package coverage for film and television, operational property/casualty and contingency products. Separately, UniFi publicly identifies Intact subsidiaries as its North American completion-bond carriers. These relationships can align risk management, but the insurance policy and completion guaranty must not be conflated.</w:t>
      </w:r>
      <w:r>
        <w:t xml:space="preserve">  </w:t>
      </w:r>
      <w:hyperlink r:id="rId35">
        <w:r>
          <w:rPr>
            <w:rFonts w:ascii="Calibri" w:hAnsi="Calibri"/>
            <w:color w:val="2E6E9E"/>
            <w:u w:val="single"/>
            <w:sz w:val="14"/>
            <w:vertAlign w:val="superscript"/>
          </w:rPr>
          <w:t>[I8]</w:t>
        </w:r>
      </w:hyperlink>
      <w:r>
        <w:t xml:space="preserve"> </w:t>
      </w:r>
      <w:hyperlink r:id="rId36">
        <w:r>
          <w:rPr>
            <w:rFonts w:ascii="Calibri" w:hAnsi="Calibri"/>
            <w:color w:val="2E6E9E"/>
            <w:u w:val="single"/>
            <w:sz w:val="14"/>
            <w:vertAlign w:val="superscript"/>
          </w:rPr>
          <w:t>[C1]</w:t>
        </w:r>
      </w:hyperlink>
    </w:p>
    <w:p>
      <w:pPr>
        <w:keepLines w:val="0"/>
        <w:spacing w:before="0" w:after="100" w:line="271" w:lineRule="auto"/>
      </w:pPr>
      <w:r>
        <w:rPr>
          <w:rFonts w:ascii="Calibri" w:hAnsi="Calibri"/>
          <w:b/>
          <w:color w:val="173B5E"/>
          <w:sz w:val="21"/>
        </w:rPr>
        <w:t xml:space="preserve">Munich Re. </w:t>
      </w:r>
      <w:r>
        <w:rPr>
          <w:rFonts w:ascii="Calibri" w:hAnsi="Calibri"/>
          <w:color w:val="17212B"/>
          <w:sz w:val="21"/>
        </w:rPr>
        <w:t>Munich Re publicly describes entertainment-related contingency and reinsurance capabilities. Intectus states that its completion bond is issued through Lloyd's Syndicate 5306 and 100% reinsured by Munich Re. The financier must confirm whether it has direct rights against the issuing carrier, relies on reinsurance, or receives a cut-through or equivalent contractual protection.</w:t>
      </w:r>
      <w:r>
        <w:t xml:space="preserve">  </w:t>
      </w:r>
      <w:hyperlink r:id="rId37">
        <w:r>
          <w:rPr>
            <w:rFonts w:ascii="Calibri" w:hAnsi="Calibri"/>
            <w:color w:val="2E6E9E"/>
            <w:u w:val="single"/>
            <w:sz w:val="14"/>
            <w:vertAlign w:val="superscript"/>
          </w:rPr>
          <w:t>[I9]</w:t>
        </w:r>
      </w:hyperlink>
      <w:r>
        <w:t xml:space="preserve"> </w:t>
      </w:r>
      <w:hyperlink r:id="rId38">
        <w:r>
          <w:rPr>
            <w:rFonts w:ascii="Calibri" w:hAnsi="Calibri"/>
            <w:color w:val="2E6E9E"/>
            <w:u w:val="single"/>
            <w:sz w:val="14"/>
            <w:vertAlign w:val="superscript"/>
          </w:rPr>
          <w:t>[C7]</w:t>
        </w:r>
      </w:hyperlink>
    </w:p>
    <w:p>
      <w:pPr>
        <w:pStyle w:val="Heading2"/>
        <w:keepNext/>
        <w:pageBreakBefore w:val="0"/>
      </w:pPr>
      <w:r>
        <w:rPr>
          <w:rFonts w:ascii="Calibri" w:hAnsi="Calibri"/>
          <w:b/>
          <w:color w:val="173B5E"/>
          <w:sz w:val="27"/>
        </w:rPr>
        <w:t>What production insurance usually protects</w:t>
      </w:r>
    </w:p>
    <w:p>
      <w:pPr>
        <w:keepLines w:val="0"/>
        <w:spacing w:before="0" w:after="100" w:line="271" w:lineRule="auto"/>
      </w:pPr>
      <w:r>
        <w:rPr>
          <w:rFonts w:ascii="Calibri" w:hAnsi="Calibri"/>
          <w:b/>
          <w:color w:val="173B5E"/>
          <w:sz w:val="21"/>
        </w:rPr>
        <w:t xml:space="preserve">Cast and key-person risk. </w:t>
      </w:r>
      <w:r>
        <w:rPr>
          <w:rFonts w:ascii="Calibri" w:hAnsi="Calibri"/>
          <w:color w:val="17212B"/>
          <w:sz w:val="21"/>
        </w:rPr>
        <w:t>Additional costs caused by covered illness, injury, death or inability of declared personnel to perform.</w:t>
      </w:r>
    </w:p>
    <w:p>
      <w:pPr>
        <w:keepLines w:val="0"/>
        <w:spacing w:before="0" w:after="100" w:line="271" w:lineRule="auto"/>
      </w:pPr>
      <w:r>
        <w:rPr>
          <w:rFonts w:ascii="Calibri" w:hAnsi="Calibri"/>
          <w:b/>
          <w:color w:val="173B5E"/>
          <w:sz w:val="21"/>
        </w:rPr>
        <w:t xml:space="preserve">Property and equipment. </w:t>
      </w:r>
      <w:r>
        <w:rPr>
          <w:rFonts w:ascii="Calibri" w:hAnsi="Calibri"/>
          <w:color w:val="17212B"/>
          <w:sz w:val="21"/>
        </w:rPr>
        <w:t>Loss or damage to cameras, sound equipment, sets, props, wardrobe, media and other scheduled production property.</w:t>
      </w:r>
    </w:p>
    <w:p>
      <w:pPr>
        <w:keepLines w:val="0"/>
        <w:spacing w:before="0" w:after="100" w:line="271" w:lineRule="auto"/>
      </w:pPr>
      <w:r>
        <w:rPr>
          <w:rFonts w:ascii="Calibri" w:hAnsi="Calibri"/>
          <w:b/>
          <w:color w:val="173B5E"/>
          <w:sz w:val="21"/>
        </w:rPr>
        <w:t xml:space="preserve">Extra expense and interruption. </w:t>
      </w:r>
      <w:r>
        <w:rPr>
          <w:rFonts w:ascii="Calibri" w:hAnsi="Calibri"/>
          <w:color w:val="17212B"/>
          <w:sz w:val="21"/>
        </w:rPr>
        <w:t>Covered costs to resume, reshoot, replace or continue after an insured event, subject to wording and limits.</w:t>
      </w:r>
    </w:p>
    <w:p>
      <w:pPr>
        <w:keepLines w:val="0"/>
        <w:spacing w:before="0" w:after="100" w:line="271" w:lineRule="auto"/>
      </w:pPr>
      <w:r>
        <w:rPr>
          <w:rFonts w:ascii="Calibri" w:hAnsi="Calibri"/>
          <w:b/>
          <w:color w:val="173B5E"/>
          <w:sz w:val="21"/>
        </w:rPr>
        <w:t xml:space="preserve">Liability and workers' compensation. </w:t>
      </w:r>
      <w:r>
        <w:rPr>
          <w:rFonts w:ascii="Calibri" w:hAnsi="Calibri"/>
          <w:color w:val="17212B"/>
          <w:sz w:val="21"/>
        </w:rPr>
        <w:t>Third-party bodily injury/property damage, employer obligations and jurisdiction-specific statutory coverages.</w:t>
      </w:r>
    </w:p>
    <w:p>
      <w:pPr>
        <w:keepLines w:val="0"/>
        <w:spacing w:before="0" w:after="100" w:line="271" w:lineRule="auto"/>
      </w:pPr>
      <w:r>
        <w:rPr>
          <w:rFonts w:ascii="Calibri" w:hAnsi="Calibri"/>
          <w:b/>
          <w:color w:val="173B5E"/>
          <w:sz w:val="21"/>
        </w:rPr>
        <w:t xml:space="preserve">E&amp;O / media liability. </w:t>
      </w:r>
      <w:r>
        <w:rPr>
          <w:rFonts w:ascii="Calibri" w:hAnsi="Calibri"/>
          <w:color w:val="17212B"/>
          <w:sz w:val="21"/>
        </w:rPr>
        <w:t>Content-related claims such as defamation, privacy, copyright or trademark allegations, usually under a separate form.</w:t>
      </w:r>
    </w:p>
    <w:p>
      <w:pPr>
        <w:pStyle w:val="Heading1"/>
        <w:keepNext/>
        <w:pageBreakBefore w:val="0"/>
      </w:pPr>
      <w:r>
        <w:rPr>
          <w:rFonts w:ascii="Calibri" w:hAnsi="Calibri"/>
          <w:b/>
          <w:color w:val="173B5E"/>
          <w:sz w:val="34"/>
        </w:rPr>
        <w:t>7. Completion-bond companies: production underwriting and delivery protection</w:t>
      </w:r>
    </w:p>
    <w:p>
      <w:pPr>
        <w:keepLines w:val="0"/>
        <w:spacing w:before="0" w:after="120" w:line="271" w:lineRule="auto"/>
      </w:pPr>
      <w:r>
        <w:rPr>
          <w:rFonts w:ascii="Calibri" w:hAnsi="Calibri"/>
          <w:color w:val="17212B"/>
          <w:sz w:val="21"/>
        </w:rPr>
        <w:t>Completion guarantors occupy a different layer from production insurers. They underwrite the entire feasibility of the production against an approved script, budget, schedule, financing plan, key personnel and delivery specification. The guarantor typically monitors cost and production progress, holds intervention or takeover rights and, under the executed documents, may fund covered excess costs to complete or repay protected capital if completion is abandoned. The exact beneficiary, liability cap, exclusions, claim timing and remedy election are document-specific.</w:t>
      </w:r>
    </w:p>
    <w:tbl>
      <w:tblPr>
        <w:tblStyle w:val="TableGrid"/>
        <w:tblW w:type="dxa" w:w="9360"/>
        <w:tblLayout w:type="fixed"/>
        <w:tblLook w:firstColumn="1" w:firstRow="1" w:lastColumn="0" w:lastRow="0" w:noHBand="0" w:noVBand="1" w:val="04A0"/>
        <w:jc w:val="left"/>
        <w:tblInd w:w="120" w:type="dxa"/>
      </w:tblPr>
      <w:tblGrid>
        <w:gridCol w:w="1680"/>
        <w:gridCol w:w="3000"/>
        <w:gridCol w:w="2870"/>
        <w:gridCol w:w="1810"/>
      </w:tblGrid>
      <w:tr>
        <w:trPr>
          <w:cantSplit/>
          <w:tblHeader w:val="true"/>
          <w:cantSplit/>
        </w:trPr>
        <w:tc>
          <w:tcPr>
            <w:tcW w:type="dxa" w:w="1680"/>
            <w:tcMar>
              <w:top w:w="90" w:type="dxa"/>
              <w:start w:w="120" w:type="dxa"/>
              <w:bottom w:w="90" w:type="dxa"/>
              <w:end w:w="120" w:type="dxa"/>
            </w:tcMar>
            <w:vAlign w:val="center"/>
            <w:shd w:fill="173B5E"/>
          </w:tcPr>
          <w:p>
            <w:pPr>
              <w:spacing w:after="0" w:line="252" w:lineRule="auto"/>
              <w:jc w:val="center"/>
            </w:pPr>
            <w:r>
              <w:rPr>
                <w:rFonts w:ascii="Calibri" w:hAnsi="Calibri"/>
                <w:b/>
                <w:color w:val="FFFFFF"/>
                <w:sz w:val="16"/>
              </w:rPr>
              <w:t>Completion platform</w:t>
            </w:r>
          </w:p>
        </w:tc>
        <w:tc>
          <w:tcPr>
            <w:tcW w:type="dxa" w:w="3000"/>
            <w:tcMar>
              <w:top w:w="90" w:type="dxa"/>
              <w:start w:w="120" w:type="dxa"/>
              <w:bottom w:w="90" w:type="dxa"/>
              <w:end w:w="120" w:type="dxa"/>
            </w:tcMar>
            <w:vAlign w:val="center"/>
            <w:shd w:fill="173B5E"/>
          </w:tcPr>
          <w:p>
            <w:pPr>
              <w:spacing w:after="0" w:line="252" w:lineRule="auto"/>
              <w:jc w:val="center"/>
            </w:pPr>
            <w:r>
              <w:rPr>
                <w:rFonts w:ascii="Calibri" w:hAnsi="Calibri"/>
                <w:b/>
                <w:color w:val="FFFFFF"/>
                <w:sz w:val="16"/>
              </w:rPr>
              <w:t>Publicly evidenced model</w:t>
            </w:r>
          </w:p>
        </w:tc>
        <w:tc>
          <w:tcPr>
            <w:tcW w:type="dxa" w:w="2870"/>
            <w:tcMar>
              <w:top w:w="90" w:type="dxa"/>
              <w:start w:w="120" w:type="dxa"/>
              <w:bottom w:w="90" w:type="dxa"/>
              <w:end w:w="120" w:type="dxa"/>
            </w:tcMar>
            <w:vAlign w:val="center"/>
            <w:shd w:fill="173B5E"/>
          </w:tcPr>
          <w:p>
            <w:pPr>
              <w:spacing w:after="0" w:line="252" w:lineRule="auto"/>
              <w:jc w:val="center"/>
            </w:pPr>
            <w:r>
              <w:rPr>
                <w:rFonts w:ascii="Calibri" w:hAnsi="Calibri"/>
                <w:b/>
                <w:color w:val="FFFFFF"/>
                <w:sz w:val="16"/>
              </w:rPr>
              <w:t>Risk-bearing structure disclosed publicly</w:t>
            </w:r>
          </w:p>
        </w:tc>
        <w:tc>
          <w:tcPr>
            <w:tcW w:type="dxa" w:w="1810"/>
            <w:tcMar>
              <w:top w:w="90" w:type="dxa"/>
              <w:start w:w="120" w:type="dxa"/>
              <w:bottom w:w="90" w:type="dxa"/>
              <w:end w:w="120" w:type="dxa"/>
            </w:tcMar>
            <w:vAlign w:val="center"/>
            <w:shd w:fill="173B5E"/>
          </w:tcPr>
          <w:p>
            <w:pPr>
              <w:spacing w:after="0" w:line="252" w:lineRule="auto"/>
              <w:jc w:val="center"/>
            </w:pPr>
            <w:r>
              <w:rPr>
                <w:rFonts w:ascii="Calibri" w:hAnsi="Calibri"/>
                <w:b/>
                <w:color w:val="FFFFFF"/>
                <w:sz w:val="16"/>
              </w:rPr>
              <w:t>Current market note</w:t>
            </w:r>
          </w:p>
        </w:tc>
      </w:tr>
      <w:tr>
        <w:trPr>
          <w:cantSplit/>
        </w:trPr>
        <w:tc>
          <w:tcPr>
            <w:tcW w:type="dxa" w:w="1680"/>
            <w:tcMar>
              <w:top w:w="90" w:type="dxa"/>
              <w:start w:w="120" w:type="dxa"/>
              <w:bottom w:w="90" w:type="dxa"/>
              <w:end w:w="120" w:type="dxa"/>
            </w:tcMar>
            <w:vAlign w:val="center"/>
          </w:tcPr>
          <w:p>
            <w:pPr>
              <w:spacing w:after="0" w:line="252" w:lineRule="auto"/>
              <w:jc w:val="left"/>
            </w:pPr>
            <w:r>
              <w:rPr>
                <w:rFonts w:ascii="Calibri" w:hAnsi="Calibri"/>
                <w:b w:val="0"/>
                <w:color w:val="17212B"/>
                <w:sz w:val="15"/>
              </w:rPr>
              <w:t>UniFi Completion Guarantors</w:t>
            </w:r>
          </w:p>
        </w:tc>
        <w:tc>
          <w:tcPr>
            <w:tcW w:type="dxa" w:w="3000"/>
            <w:tcMar>
              <w:top w:w="90" w:type="dxa"/>
              <w:start w:w="120" w:type="dxa"/>
              <w:bottom w:w="90" w:type="dxa"/>
              <w:end w:w="120" w:type="dxa"/>
            </w:tcMar>
            <w:vAlign w:val="center"/>
          </w:tcPr>
          <w:p>
            <w:pPr>
              <w:spacing w:after="0" w:line="252" w:lineRule="auto"/>
              <w:jc w:val="left"/>
            </w:pPr>
            <w:r>
              <w:rPr>
                <w:rFonts w:ascii="Calibri" w:hAnsi="Calibri"/>
                <w:b w:val="0"/>
                <w:color w:val="17212B"/>
                <w:sz w:val="15"/>
              </w:rPr>
              <w:t>Boutique completion-bond underwriting, documentation and monitoring</w:t>
            </w:r>
          </w:p>
        </w:tc>
        <w:tc>
          <w:tcPr>
            <w:tcW w:type="dxa" w:w="2870"/>
            <w:tcMar>
              <w:top w:w="90" w:type="dxa"/>
              <w:start w:w="120" w:type="dxa"/>
              <w:bottom w:w="90" w:type="dxa"/>
              <w:end w:w="120" w:type="dxa"/>
            </w:tcMar>
            <w:vAlign w:val="center"/>
          </w:tcPr>
          <w:p>
            <w:pPr>
              <w:spacing w:after="0" w:line="252" w:lineRule="auto"/>
              <w:jc w:val="left"/>
            </w:pPr>
            <w:r>
              <w:rPr>
                <w:rFonts w:ascii="Calibri" w:hAnsi="Calibri"/>
                <w:b w:val="0"/>
                <w:color w:val="17212B"/>
                <w:sz w:val="15"/>
              </w:rPr>
              <w:t>UniFi states it is an MGU; Atlantic Specialty/Intact subsidiaries issue North American bonds</w:t>
            </w:r>
          </w:p>
        </w:tc>
        <w:tc>
          <w:tcPr>
            <w:tcW w:type="dxa" w:w="1810"/>
            <w:tcMar>
              <w:top w:w="90" w:type="dxa"/>
              <w:start w:w="120" w:type="dxa"/>
              <w:bottom w:w="90" w:type="dxa"/>
              <w:end w:w="120" w:type="dxa"/>
            </w:tcMar>
            <w:vAlign w:val="center"/>
          </w:tcPr>
          <w:p>
            <w:pPr>
              <w:spacing w:after="0" w:line="252" w:lineRule="auto"/>
              <w:jc w:val="left"/>
            </w:pPr>
            <w:r>
              <w:rPr>
                <w:rFonts w:ascii="Calibri" w:hAnsi="Calibri"/>
                <w:b w:val="0"/>
                <w:color w:val="17212B"/>
                <w:sz w:val="15"/>
              </w:rPr>
              <w:t>Direct carrier privity is a stated feature; executed guaranty controls</w:t>
            </w:r>
          </w:p>
        </w:tc>
      </w:tr>
      <w:tr>
        <w:trPr>
          <w:cantSplit/>
        </w:trPr>
        <w:tc>
          <w:tcPr>
            <w:tcW w:type="dxa" w:w="168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Film Finances International</w:t>
            </w:r>
          </w:p>
        </w:tc>
        <w:tc>
          <w:tcPr>
            <w:tcW w:type="dxa" w:w="300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Global completion guarantees with evaluation, legal review and monitoring</w:t>
            </w:r>
          </w:p>
        </w:tc>
        <w:tc>
          <w:tcPr>
            <w:tcW w:type="dxa" w:w="287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Public site emphasizes FFI service; actual issuing/capacity entity must be confirmed per bond</w:t>
            </w:r>
          </w:p>
        </w:tc>
        <w:tc>
          <w:tcPr>
            <w:tcW w:type="dxa" w:w="181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FFI and Media Guarantors announced a combination in July 2026</w:t>
            </w:r>
          </w:p>
        </w:tc>
      </w:tr>
      <w:tr>
        <w:trPr>
          <w:cantSplit/>
        </w:trPr>
        <w:tc>
          <w:tcPr>
            <w:tcW w:type="dxa" w:w="1680"/>
            <w:tcMar>
              <w:top w:w="90" w:type="dxa"/>
              <w:start w:w="120" w:type="dxa"/>
              <w:bottom w:w="90" w:type="dxa"/>
              <w:end w:w="120" w:type="dxa"/>
            </w:tcMar>
            <w:vAlign w:val="center"/>
          </w:tcPr>
          <w:p>
            <w:pPr>
              <w:spacing w:after="0" w:line="252" w:lineRule="auto"/>
              <w:jc w:val="left"/>
            </w:pPr>
            <w:r>
              <w:rPr>
                <w:rFonts w:ascii="Calibri" w:hAnsi="Calibri"/>
                <w:b w:val="0"/>
                <w:color w:val="17212B"/>
                <w:sz w:val="15"/>
              </w:rPr>
              <w:t>Media Guarantors</w:t>
            </w:r>
          </w:p>
        </w:tc>
        <w:tc>
          <w:tcPr>
            <w:tcW w:type="dxa" w:w="3000"/>
            <w:tcMar>
              <w:top w:w="90" w:type="dxa"/>
              <w:start w:w="120" w:type="dxa"/>
              <w:bottom w:w="90" w:type="dxa"/>
              <w:end w:w="120" w:type="dxa"/>
            </w:tcMar>
            <w:vAlign w:val="center"/>
          </w:tcPr>
          <w:p>
            <w:pPr>
              <w:spacing w:after="0" w:line="252" w:lineRule="auto"/>
              <w:jc w:val="left"/>
            </w:pPr>
            <w:r>
              <w:rPr>
                <w:rFonts w:ascii="Calibri" w:hAnsi="Calibri"/>
                <w:b w:val="0"/>
                <w:color w:val="17212B"/>
                <w:sz w:val="15"/>
              </w:rPr>
              <w:t>Completion guarantees for independent film and television</w:t>
            </w:r>
          </w:p>
        </w:tc>
        <w:tc>
          <w:tcPr>
            <w:tcW w:type="dxa" w:w="2870"/>
            <w:tcMar>
              <w:top w:w="90" w:type="dxa"/>
              <w:start w:w="120" w:type="dxa"/>
              <w:bottom w:w="90" w:type="dxa"/>
              <w:end w:w="120" w:type="dxa"/>
            </w:tcMar>
            <w:vAlign w:val="center"/>
          </w:tcPr>
          <w:p>
            <w:pPr>
              <w:spacing w:after="0" w:line="252" w:lineRule="auto"/>
              <w:jc w:val="left"/>
            </w:pPr>
            <w:r>
              <w:rPr>
                <w:rFonts w:ascii="Calibri" w:hAnsi="Calibri"/>
                <w:b w:val="0"/>
                <w:color w:val="17212B"/>
                <w:sz w:val="15"/>
              </w:rPr>
              <w:t>Public materials identify the guarantor/brokerage platform; verify carrier and beneficiary documents</w:t>
            </w:r>
          </w:p>
        </w:tc>
        <w:tc>
          <w:tcPr>
            <w:tcW w:type="dxa" w:w="1810"/>
            <w:tcMar>
              <w:top w:w="90" w:type="dxa"/>
              <w:start w:w="120" w:type="dxa"/>
              <w:bottom w:w="90" w:type="dxa"/>
              <w:end w:w="120" w:type="dxa"/>
            </w:tcMar>
            <w:vAlign w:val="center"/>
          </w:tcPr>
          <w:p>
            <w:pPr>
              <w:spacing w:after="0" w:line="252" w:lineRule="auto"/>
              <w:jc w:val="left"/>
            </w:pPr>
            <w:r>
              <w:rPr>
                <w:rFonts w:ascii="Calibri" w:hAnsi="Calibri"/>
                <w:b w:val="0"/>
                <w:color w:val="17212B"/>
                <w:sz w:val="15"/>
              </w:rPr>
              <w:t>Treat as a legacy brand within the announced FFI combination, not a wholly separate current platform</w:t>
            </w:r>
          </w:p>
        </w:tc>
      </w:tr>
      <w:tr>
        <w:trPr>
          <w:cantSplit/>
        </w:trPr>
        <w:tc>
          <w:tcPr>
            <w:tcW w:type="dxa" w:w="168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Paterson James</w:t>
            </w:r>
          </w:p>
        </w:tc>
        <w:tc>
          <w:tcPr>
            <w:tcW w:type="dxa" w:w="300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Independent UK completion-guarantee and monitoring services</w:t>
            </w:r>
          </w:p>
        </w:tc>
        <w:tc>
          <w:tcPr>
            <w:tcW w:type="dxa" w:w="287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Public site does not by itself resolve every carrier/capacity question</w:t>
            </w:r>
          </w:p>
        </w:tc>
        <w:tc>
          <w:tcPr>
            <w:tcW w:type="dxa" w:w="181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Spelling is Paterson James, not Patterson James</w:t>
            </w:r>
          </w:p>
        </w:tc>
      </w:tr>
      <w:tr>
        <w:trPr>
          <w:cantSplit/>
        </w:trPr>
        <w:tc>
          <w:tcPr>
            <w:tcW w:type="dxa" w:w="1680"/>
            <w:tcMar>
              <w:top w:w="90" w:type="dxa"/>
              <w:start w:w="120" w:type="dxa"/>
              <w:bottom w:w="90" w:type="dxa"/>
              <w:end w:w="120" w:type="dxa"/>
            </w:tcMar>
            <w:vAlign w:val="center"/>
          </w:tcPr>
          <w:p>
            <w:pPr>
              <w:spacing w:after="0" w:line="252" w:lineRule="auto"/>
              <w:jc w:val="left"/>
            </w:pPr>
            <w:r>
              <w:rPr>
                <w:rFonts w:ascii="Calibri" w:hAnsi="Calibri"/>
                <w:b w:val="0"/>
                <w:color w:val="17212B"/>
                <w:sz w:val="15"/>
              </w:rPr>
              <w:t>Guaranteed Completions / Intectus</w:t>
            </w:r>
          </w:p>
        </w:tc>
        <w:tc>
          <w:tcPr>
            <w:tcW w:type="dxa" w:w="3000"/>
            <w:tcMar>
              <w:top w:w="90" w:type="dxa"/>
              <w:start w:w="120" w:type="dxa"/>
              <w:bottom w:w="90" w:type="dxa"/>
              <w:end w:w="120" w:type="dxa"/>
            </w:tcMar>
            <w:vAlign w:val="center"/>
          </w:tcPr>
          <w:p>
            <w:pPr>
              <w:spacing w:after="0" w:line="252" w:lineRule="auto"/>
              <w:jc w:val="left"/>
            </w:pPr>
            <w:r>
              <w:rPr>
                <w:rFonts w:ascii="Calibri" w:hAnsi="Calibri"/>
                <w:b w:val="0"/>
                <w:color w:val="17212B"/>
                <w:sz w:val="15"/>
              </w:rPr>
              <w:t>Berlin-based due diligence, monitoring and completion-product risk management</w:t>
            </w:r>
          </w:p>
        </w:tc>
        <w:tc>
          <w:tcPr>
            <w:tcW w:type="dxa" w:w="2870"/>
            <w:tcMar>
              <w:top w:w="90" w:type="dxa"/>
              <w:start w:w="120" w:type="dxa"/>
              <w:bottom w:w="90" w:type="dxa"/>
              <w:end w:w="120" w:type="dxa"/>
            </w:tcMar>
            <w:vAlign w:val="center"/>
          </w:tcPr>
          <w:p>
            <w:pPr>
              <w:spacing w:after="0" w:line="252" w:lineRule="auto"/>
              <w:jc w:val="left"/>
            </w:pPr>
            <w:r>
              <w:rPr>
                <w:rFonts w:ascii="Calibri" w:hAnsi="Calibri"/>
                <w:b w:val="0"/>
                <w:color w:val="17212B"/>
                <w:sz w:val="15"/>
              </w:rPr>
              <w:t>Intectus states Lloyd's Syndicate 5306 fronts and Munich Re provides 100% reinsurance</w:t>
            </w:r>
          </w:p>
        </w:tc>
        <w:tc>
          <w:tcPr>
            <w:tcW w:type="dxa" w:w="1810"/>
            <w:tcMar>
              <w:top w:w="90" w:type="dxa"/>
              <w:start w:w="120" w:type="dxa"/>
              <w:bottom w:w="90" w:type="dxa"/>
              <w:end w:w="120" w:type="dxa"/>
            </w:tcMar>
            <w:vAlign w:val="center"/>
          </w:tcPr>
          <w:p>
            <w:pPr>
              <w:spacing w:after="0" w:line="252" w:lineRule="auto"/>
              <w:jc w:val="left"/>
            </w:pPr>
            <w:r>
              <w:rPr>
                <w:rFonts w:ascii="Calibri" w:hAnsi="Calibri"/>
                <w:b w:val="0"/>
                <w:color w:val="17212B"/>
                <w:sz w:val="15"/>
              </w:rPr>
              <w:t>Both public sites remain live; continuity is evident, but legal rename/succession is not cleanly established publicly</w:t>
            </w:r>
          </w:p>
        </w:tc>
      </w:tr>
    </w:tbl>
    <w:p>
      <w:pPr>
        <w:spacing w:after="40"/>
      </w:pPr>
    </w:p>
    <w:p>
      <w:pPr>
        <w:keepLines w:val="0"/>
        <w:spacing w:before="0" w:after="100" w:line="271" w:lineRule="auto"/>
      </w:pPr>
      <w:r>
        <w:rPr>
          <w:rFonts w:ascii="Calibri" w:hAnsi="Calibri"/>
          <w:b/>
          <w:color w:val="173B5E"/>
          <w:sz w:val="21"/>
        </w:rPr>
        <w:t xml:space="preserve">UniFi Completion Guarantors. </w:t>
      </w:r>
      <w:r>
        <w:rPr>
          <w:rFonts w:ascii="Calibri" w:hAnsi="Calibri"/>
          <w:color w:val="17212B"/>
          <w:sz w:val="21"/>
        </w:rPr>
        <w:t>UniFi presents itself as a boutique completion-bond company serving independent film, television and new media. It states that it acts as a general managing underwriter for Intact and that Atlantic Specialty Insurance Company provides U.S. bonds while Intact Insurance Company provides Canadian bonds. This is a useful example of why the service brand and the legal risk carrier must both be identified.</w:t>
      </w:r>
      <w:r>
        <w:t xml:space="preserve">  </w:t>
      </w:r>
      <w:hyperlink r:id="rId36">
        <w:r>
          <w:rPr>
            <w:rFonts w:ascii="Calibri" w:hAnsi="Calibri"/>
            <w:color w:val="2E6E9E"/>
            <w:u w:val="single"/>
            <w:sz w:val="14"/>
            <w:vertAlign w:val="superscript"/>
          </w:rPr>
          <w:t>[C1]</w:t>
        </w:r>
      </w:hyperlink>
    </w:p>
    <w:p>
      <w:pPr>
        <w:keepLines w:val="0"/>
        <w:spacing w:before="0" w:after="100" w:line="271" w:lineRule="auto"/>
      </w:pPr>
      <w:r>
        <w:rPr>
          <w:rFonts w:ascii="Calibri" w:hAnsi="Calibri"/>
          <w:b/>
          <w:color w:val="173B5E"/>
          <w:sz w:val="21"/>
        </w:rPr>
        <w:t xml:space="preserve">Film Finances International (FFI). </w:t>
      </w:r>
      <w:r>
        <w:rPr>
          <w:rFonts w:ascii="Calibri" w:hAnsi="Calibri"/>
          <w:color w:val="17212B"/>
          <w:sz w:val="21"/>
        </w:rPr>
        <w:t>FFI describes a global completion-guarantee platform founded in 1950, with evaluation, legal and production-monitoring functions. Its public materials emphasize on-time, on-budget delivery protection; a financier should still obtain the actual guaranty, interparty agreement and evidence of the issuing entity for the specific production.</w:t>
      </w:r>
      <w:r>
        <w:t xml:space="preserve">  </w:t>
      </w:r>
      <w:hyperlink r:id="rId39">
        <w:r>
          <w:rPr>
            <w:rFonts w:ascii="Calibri" w:hAnsi="Calibri"/>
            <w:color w:val="2E6E9E"/>
            <w:u w:val="single"/>
            <w:sz w:val="14"/>
            <w:vertAlign w:val="superscript"/>
          </w:rPr>
          <w:t>[C2]</w:t>
        </w:r>
      </w:hyperlink>
    </w:p>
    <w:p>
      <w:pPr>
        <w:keepLines w:val="0"/>
        <w:spacing w:before="0" w:after="100" w:line="271" w:lineRule="auto"/>
      </w:pPr>
      <w:r>
        <w:rPr>
          <w:rFonts w:ascii="Calibri" w:hAnsi="Calibri"/>
          <w:b/>
          <w:color w:val="173B5E"/>
          <w:sz w:val="21"/>
        </w:rPr>
        <w:t xml:space="preserve">Media Guarantors. </w:t>
      </w:r>
      <w:r>
        <w:rPr>
          <w:rFonts w:ascii="Calibri" w:hAnsi="Calibri"/>
          <w:color w:val="17212B"/>
          <w:sz w:val="21"/>
        </w:rPr>
        <w:t>CAC Group publicly described Media Guarantors as a provider of completion guarantees for independent film and television. In July 2026, trade reporting announced that Film Finances and Media Guarantors would combine under the Film Finances/STX family. The prudent market map therefore preserves the Media Guarantors name and team lineage without counting it as an independent platform after the announced combination.</w:t>
      </w:r>
      <w:r>
        <w:t xml:space="preserve">  </w:t>
      </w:r>
      <w:hyperlink r:id="rId40">
        <w:r>
          <w:rPr>
            <w:rFonts w:ascii="Calibri" w:hAnsi="Calibri"/>
            <w:color w:val="2E6E9E"/>
            <w:u w:val="single"/>
            <w:sz w:val="14"/>
            <w:vertAlign w:val="superscript"/>
          </w:rPr>
          <w:t>[C3]</w:t>
        </w:r>
      </w:hyperlink>
      <w:r>
        <w:t xml:space="preserve"> </w:t>
      </w:r>
      <w:hyperlink r:id="rId41">
        <w:r>
          <w:rPr>
            <w:rFonts w:ascii="Calibri" w:hAnsi="Calibri"/>
            <w:color w:val="2E6E9E"/>
            <w:u w:val="single"/>
            <w:sz w:val="14"/>
            <w:vertAlign w:val="superscript"/>
          </w:rPr>
          <w:t>[C4]</w:t>
        </w:r>
      </w:hyperlink>
    </w:p>
    <w:p>
      <w:pPr>
        <w:keepLines w:val="0"/>
        <w:spacing w:before="0" w:after="100" w:line="271" w:lineRule="auto"/>
      </w:pPr>
      <w:r>
        <w:rPr>
          <w:rFonts w:ascii="Calibri" w:hAnsi="Calibri"/>
          <w:b/>
          <w:color w:val="173B5E"/>
          <w:sz w:val="21"/>
        </w:rPr>
        <w:t xml:space="preserve">Paterson James. </w:t>
      </w:r>
      <w:r>
        <w:rPr>
          <w:rFonts w:ascii="Calibri" w:hAnsi="Calibri"/>
          <w:color w:val="17212B"/>
          <w:sz w:val="21"/>
        </w:rPr>
        <w:t>Paterson James publicly offers completion guarantees and monitoring from the United Kingdom and describes itself as independently owned. The financier should separately verify insurer/capacity, governing law, claims procedure, territorial reach and recognition by every lender and distributor in the capital stack.</w:t>
      </w:r>
      <w:r>
        <w:t xml:space="preserve">  </w:t>
      </w:r>
      <w:hyperlink r:id="rId42">
        <w:r>
          <w:rPr>
            <w:rFonts w:ascii="Calibri" w:hAnsi="Calibri"/>
            <w:color w:val="2E6E9E"/>
            <w:u w:val="single"/>
            <w:sz w:val="14"/>
            <w:vertAlign w:val="superscript"/>
          </w:rPr>
          <w:t>[C5]</w:t>
        </w:r>
      </w:hyperlink>
    </w:p>
    <w:p>
      <w:pPr>
        <w:keepLines w:val="0"/>
        <w:spacing w:before="0" w:after="100" w:line="271" w:lineRule="auto"/>
      </w:pPr>
      <w:r>
        <w:rPr>
          <w:rFonts w:ascii="Calibri" w:hAnsi="Calibri"/>
          <w:b/>
          <w:color w:val="173B5E"/>
          <w:sz w:val="21"/>
        </w:rPr>
        <w:t xml:space="preserve">Guaranteed Completions / Intectus. </w:t>
      </w:r>
      <w:r>
        <w:rPr>
          <w:rFonts w:ascii="Calibri" w:hAnsi="Calibri"/>
          <w:color w:val="17212B"/>
          <w:sz w:val="21"/>
        </w:rPr>
        <w:t>The Guaranteed Completions site remains active and describes Munich Re-backed completion-bond risk management. Intectus, at the same Berlin address and with overlapping publicly identified personnel and functions, presents a newer completion-bond and media-obligation platform. Public sources support operational continuity, but do not cleanly prove that every Guaranteed Completions legal obligation has become an Intectus obligation. Contracts must name the actual entity.</w:t>
      </w:r>
      <w:r>
        <w:t xml:space="preserve">  </w:t>
      </w:r>
      <w:hyperlink r:id="rId43">
        <w:r>
          <w:rPr>
            <w:rFonts w:ascii="Calibri" w:hAnsi="Calibri"/>
            <w:color w:val="2E6E9E"/>
            <w:u w:val="single"/>
            <w:sz w:val="14"/>
            <w:vertAlign w:val="superscript"/>
          </w:rPr>
          <w:t>[C6]</w:t>
        </w:r>
      </w:hyperlink>
      <w:r>
        <w:t xml:space="preserve"> </w:t>
      </w:r>
      <w:hyperlink r:id="rId38">
        <w:r>
          <w:rPr>
            <w:rFonts w:ascii="Calibri" w:hAnsi="Calibri"/>
            <w:color w:val="2E6E9E"/>
            <w:u w:val="single"/>
            <w:sz w:val="14"/>
            <w:vertAlign w:val="superscript"/>
          </w:rPr>
          <w:t>[C7]</w:t>
        </w:r>
      </w:hyperlink>
      <w:r>
        <w:t xml:space="preserve"> </w:t>
      </w:r>
      <w:hyperlink r:id="rId44">
        <w:r>
          <w:rPr>
            <w:rFonts w:ascii="Calibri" w:hAnsi="Calibri"/>
            <w:color w:val="2E6E9E"/>
            <w:u w:val="single"/>
            <w:sz w:val="14"/>
            <w:vertAlign w:val="superscript"/>
          </w:rPr>
          <w:t>[C8]</w:t>
        </w:r>
      </w:hyperlink>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90" w:type="dxa"/>
              <w:start w:w="120" w:type="dxa"/>
              <w:bottom w:w="90" w:type="dxa"/>
              <w:end w:w="120" w:type="dxa"/>
            </w:tcMar>
            <w:vAlign w:val="center"/>
            <w:shd w:fill="F2F4F7"/>
          </w:tcPr>
          <w:p>
            <w:pPr>
              <w:spacing w:after="0" w:line="264" w:lineRule="auto"/>
            </w:pPr>
            <w:r>
              <w:rPr>
                <w:rFonts w:ascii="Calibri" w:hAnsi="Calibri"/>
                <w:b/>
                <w:color w:val="173B5E"/>
                <w:sz w:val="20"/>
              </w:rPr>
              <w:t xml:space="preserve">COMPLETION IS NOT CREDIT INSURANCE  </w:t>
            </w:r>
            <w:r>
              <w:rPr>
                <w:rFonts w:ascii="Calibri" w:hAnsi="Calibri"/>
                <w:color w:val="17212B"/>
                <w:sz w:val="20"/>
              </w:rPr>
              <w:t>A completion guaranty can cause the film to be delivered, allowing a pre-sale or license payment condition to be satisfied. It does not ordinarily make an insolvent distributor pay. Post-delivery non-payment requires obligor underwriting and, where available, a separately written surety, credit or media-obligation product.</w:t>
            </w:r>
          </w:p>
        </w:tc>
      </w:tr>
    </w:tbl>
    <w:p>
      <w:pPr>
        <w:spacing w:after="40"/>
      </w:pPr>
    </w:p>
    <w:p>
      <w:pPr>
        <w:pStyle w:val="Heading1"/>
        <w:keepNext/>
        <w:pageBreakBefore w:val="0"/>
      </w:pPr>
      <w:r>
        <w:rPr>
          <w:rFonts w:ascii="Calibri" w:hAnsi="Calibri"/>
          <w:b/>
          <w:color w:val="173B5E"/>
          <w:sz w:val="34"/>
        </w:rPr>
        <w:t>8. How the four groups work together in one financed production</w:t>
      </w:r>
    </w:p>
    <w:tbl>
      <w:tblPr>
        <w:tblStyle w:val="TableGrid"/>
        <w:tblW w:type="dxa" w:w="9360"/>
        <w:tblLayout w:type="fixed"/>
        <w:tblLook w:firstColumn="1" w:firstRow="1" w:lastColumn="0" w:lastRow="0" w:noHBand="0" w:noVBand="1" w:val="04A0"/>
        <w:jc w:val="left"/>
        <w:tblInd w:w="120" w:type="dxa"/>
      </w:tblPr>
      <w:tblGrid>
        <w:gridCol w:w="1880"/>
        <w:gridCol w:w="2740"/>
        <w:gridCol w:w="2710"/>
        <w:gridCol w:w="2030"/>
      </w:tblGrid>
      <w:tr>
        <w:trPr>
          <w:cantSplit/>
          <w:tblHeader w:val="true"/>
          <w:cantSplit/>
        </w:trPr>
        <w:tc>
          <w:tcPr>
            <w:tcW w:type="dxa" w:w="1880"/>
            <w:tcMar>
              <w:top w:w="90" w:type="dxa"/>
              <w:start w:w="120" w:type="dxa"/>
              <w:bottom w:w="90" w:type="dxa"/>
              <w:end w:w="120" w:type="dxa"/>
            </w:tcMar>
            <w:vAlign w:val="center"/>
            <w:shd w:fill="173B5E"/>
          </w:tcPr>
          <w:p>
            <w:pPr>
              <w:spacing w:after="0" w:line="252" w:lineRule="auto"/>
              <w:jc w:val="center"/>
            </w:pPr>
            <w:r>
              <w:rPr>
                <w:rFonts w:ascii="Calibri" w:hAnsi="Calibri"/>
                <w:b/>
                <w:color w:val="FFFFFF"/>
                <w:sz w:val="16"/>
              </w:rPr>
              <w:t>Risk event</w:t>
            </w:r>
          </w:p>
        </w:tc>
        <w:tc>
          <w:tcPr>
            <w:tcW w:type="dxa" w:w="2740"/>
            <w:tcMar>
              <w:top w:w="90" w:type="dxa"/>
              <w:start w:w="120" w:type="dxa"/>
              <w:bottom w:w="90" w:type="dxa"/>
              <w:end w:w="120" w:type="dxa"/>
            </w:tcMar>
            <w:vAlign w:val="center"/>
            <w:shd w:fill="173B5E"/>
          </w:tcPr>
          <w:p>
            <w:pPr>
              <w:spacing w:after="0" w:line="252" w:lineRule="auto"/>
              <w:jc w:val="center"/>
            </w:pPr>
            <w:r>
              <w:rPr>
                <w:rFonts w:ascii="Calibri" w:hAnsi="Calibri"/>
                <w:b/>
                <w:color w:val="FFFFFF"/>
                <w:sz w:val="16"/>
              </w:rPr>
              <w:t>First line of defense</w:t>
            </w:r>
          </w:p>
        </w:tc>
        <w:tc>
          <w:tcPr>
            <w:tcW w:type="dxa" w:w="2710"/>
            <w:tcMar>
              <w:top w:w="90" w:type="dxa"/>
              <w:start w:w="120" w:type="dxa"/>
              <w:bottom w:w="90" w:type="dxa"/>
              <w:end w:w="120" w:type="dxa"/>
            </w:tcMar>
            <w:vAlign w:val="center"/>
            <w:shd w:fill="173B5E"/>
          </w:tcPr>
          <w:p>
            <w:pPr>
              <w:spacing w:after="0" w:line="252" w:lineRule="auto"/>
              <w:jc w:val="center"/>
            </w:pPr>
            <w:r>
              <w:rPr>
                <w:rFonts w:ascii="Calibri" w:hAnsi="Calibri"/>
                <w:b/>
                <w:color w:val="FFFFFF"/>
                <w:sz w:val="16"/>
              </w:rPr>
              <w:t>Secondary protection</w:t>
            </w:r>
          </w:p>
        </w:tc>
        <w:tc>
          <w:tcPr>
            <w:tcW w:type="dxa" w:w="2030"/>
            <w:tcMar>
              <w:top w:w="90" w:type="dxa"/>
              <w:start w:w="120" w:type="dxa"/>
              <w:bottom w:w="90" w:type="dxa"/>
              <w:end w:w="120" w:type="dxa"/>
            </w:tcMar>
            <w:vAlign w:val="center"/>
            <w:shd w:fill="173B5E"/>
          </w:tcPr>
          <w:p>
            <w:pPr>
              <w:spacing w:after="0" w:line="252" w:lineRule="auto"/>
              <w:jc w:val="center"/>
            </w:pPr>
            <w:r>
              <w:rPr>
                <w:rFonts w:ascii="Calibri" w:hAnsi="Calibri"/>
                <w:b/>
                <w:color w:val="FFFFFF"/>
                <w:sz w:val="16"/>
              </w:rPr>
              <w:t>Residual financier exposure</w:t>
            </w:r>
          </w:p>
        </w:tc>
      </w:tr>
      <w:tr>
        <w:trPr>
          <w:cantSplit/>
        </w:trPr>
        <w:tc>
          <w:tcPr>
            <w:tcW w:type="dxa" w:w="1880"/>
            <w:tcMar>
              <w:top w:w="90" w:type="dxa"/>
              <w:start w:w="120" w:type="dxa"/>
              <w:bottom w:w="90" w:type="dxa"/>
              <w:end w:w="120" w:type="dxa"/>
            </w:tcMar>
            <w:vAlign w:val="center"/>
          </w:tcPr>
          <w:p>
            <w:pPr>
              <w:spacing w:after="0" w:line="252" w:lineRule="auto"/>
              <w:jc w:val="left"/>
            </w:pPr>
            <w:r>
              <w:rPr>
                <w:rFonts w:ascii="Calibri" w:hAnsi="Calibri"/>
                <w:b w:val="0"/>
                <w:color w:val="17212B"/>
                <w:sz w:val="15"/>
              </w:rPr>
              <w:t>Receivable exists but cash arrives after production spend</w:t>
            </w:r>
          </w:p>
        </w:tc>
        <w:tc>
          <w:tcPr>
            <w:tcW w:type="dxa" w:w="2740"/>
            <w:tcMar>
              <w:top w:w="90" w:type="dxa"/>
              <w:start w:w="120" w:type="dxa"/>
              <w:bottom w:w="90" w:type="dxa"/>
              <w:end w:w="120" w:type="dxa"/>
            </w:tcMar>
            <w:vAlign w:val="center"/>
          </w:tcPr>
          <w:p>
            <w:pPr>
              <w:spacing w:after="0" w:line="252" w:lineRule="auto"/>
              <w:jc w:val="left"/>
            </w:pPr>
            <w:r>
              <w:rPr>
                <w:rFonts w:ascii="Calibri" w:hAnsi="Calibri"/>
                <w:b w:val="0"/>
                <w:color w:val="17212B"/>
                <w:sz w:val="15"/>
              </w:rPr>
              <w:t>Bank or specialty lender advances against eligible collateral</w:t>
            </w:r>
          </w:p>
        </w:tc>
        <w:tc>
          <w:tcPr>
            <w:tcW w:type="dxa" w:w="2710"/>
            <w:tcMar>
              <w:top w:w="90" w:type="dxa"/>
              <w:start w:w="120" w:type="dxa"/>
              <w:bottom w:w="90" w:type="dxa"/>
              <w:end w:w="120" w:type="dxa"/>
            </w:tcMar>
            <w:vAlign w:val="center"/>
          </w:tcPr>
          <w:p>
            <w:pPr>
              <w:spacing w:after="0" w:line="252" w:lineRule="auto"/>
              <w:jc w:val="left"/>
            </w:pPr>
            <w:r>
              <w:rPr>
                <w:rFonts w:ascii="Calibri" w:hAnsi="Calibri"/>
                <w:b w:val="0"/>
                <w:color w:val="17212B"/>
                <w:sz w:val="15"/>
              </w:rPr>
              <w:t>Controlled account, assignment and borrowing-base controls</w:t>
            </w:r>
          </w:p>
        </w:tc>
        <w:tc>
          <w:tcPr>
            <w:tcW w:type="dxa" w:w="2030"/>
            <w:tcMar>
              <w:top w:w="90" w:type="dxa"/>
              <w:start w:w="120" w:type="dxa"/>
              <w:bottom w:w="90" w:type="dxa"/>
              <w:end w:w="120" w:type="dxa"/>
            </w:tcMar>
            <w:vAlign w:val="center"/>
          </w:tcPr>
          <w:p>
            <w:pPr>
              <w:spacing w:after="0" w:line="252" w:lineRule="auto"/>
              <w:jc w:val="left"/>
            </w:pPr>
            <w:r>
              <w:rPr>
                <w:rFonts w:ascii="Calibri" w:hAnsi="Calibri"/>
                <w:b w:val="0"/>
                <w:color w:val="17212B"/>
                <w:sz w:val="15"/>
              </w:rPr>
              <w:t>Dilution, timing, documentation and obligor risk</w:t>
            </w:r>
          </w:p>
        </w:tc>
      </w:tr>
      <w:tr>
        <w:trPr>
          <w:cantSplit/>
        </w:trPr>
        <w:tc>
          <w:tcPr>
            <w:tcW w:type="dxa" w:w="188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Cast illness or equipment damage delays production</w:t>
            </w:r>
          </w:p>
        </w:tc>
        <w:tc>
          <w:tcPr>
            <w:tcW w:type="dxa" w:w="274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Production-insurance claim</w:t>
            </w:r>
          </w:p>
        </w:tc>
        <w:tc>
          <w:tcPr>
            <w:tcW w:type="dxa" w:w="271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Completion guarantor monitors revised cost-to-complete and remedy</w:t>
            </w:r>
          </w:p>
        </w:tc>
        <w:tc>
          <w:tcPr>
            <w:tcW w:type="dxa" w:w="203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Deductible, exclusion, uninsured overrun and claim-timing risk</w:t>
            </w:r>
          </w:p>
        </w:tc>
      </w:tr>
      <w:tr>
        <w:trPr>
          <w:cantSplit/>
        </w:trPr>
        <w:tc>
          <w:tcPr>
            <w:tcW w:type="dxa" w:w="1880"/>
            <w:tcMar>
              <w:top w:w="90" w:type="dxa"/>
              <w:start w:w="120" w:type="dxa"/>
              <w:bottom w:w="90" w:type="dxa"/>
              <w:end w:w="120" w:type="dxa"/>
            </w:tcMar>
            <w:vAlign w:val="center"/>
          </w:tcPr>
          <w:p>
            <w:pPr>
              <w:spacing w:after="0" w:line="252" w:lineRule="auto"/>
              <w:jc w:val="left"/>
            </w:pPr>
            <w:r>
              <w:rPr>
                <w:rFonts w:ascii="Calibri" w:hAnsi="Calibri"/>
                <w:b w:val="0"/>
                <w:color w:val="17212B"/>
                <w:sz w:val="15"/>
              </w:rPr>
              <w:t>Budget/schedule deteriorates without a named insured event</w:t>
            </w:r>
          </w:p>
        </w:tc>
        <w:tc>
          <w:tcPr>
            <w:tcW w:type="dxa" w:w="2740"/>
            <w:tcMar>
              <w:top w:w="90" w:type="dxa"/>
              <w:start w:w="120" w:type="dxa"/>
              <w:bottom w:w="90" w:type="dxa"/>
              <w:end w:w="120" w:type="dxa"/>
            </w:tcMar>
            <w:vAlign w:val="center"/>
          </w:tcPr>
          <w:p>
            <w:pPr>
              <w:spacing w:after="0" w:line="252" w:lineRule="auto"/>
              <w:jc w:val="left"/>
            </w:pPr>
            <w:r>
              <w:rPr>
                <w:rFonts w:ascii="Calibri" w:hAnsi="Calibri"/>
                <w:b w:val="0"/>
                <w:color w:val="17212B"/>
                <w:sz w:val="15"/>
              </w:rPr>
              <w:t>Contingency, producer cure and lender reserves</w:t>
            </w:r>
          </w:p>
        </w:tc>
        <w:tc>
          <w:tcPr>
            <w:tcW w:type="dxa" w:w="2710"/>
            <w:tcMar>
              <w:top w:w="90" w:type="dxa"/>
              <w:start w:w="120" w:type="dxa"/>
              <w:bottom w:w="90" w:type="dxa"/>
              <w:end w:w="120" w:type="dxa"/>
            </w:tcMar>
            <w:vAlign w:val="center"/>
          </w:tcPr>
          <w:p>
            <w:pPr>
              <w:spacing w:after="0" w:line="252" w:lineRule="auto"/>
              <w:jc w:val="left"/>
            </w:pPr>
            <w:r>
              <w:rPr>
                <w:rFonts w:ascii="Calibri" w:hAnsi="Calibri"/>
                <w:b w:val="0"/>
                <w:color w:val="17212B"/>
                <w:sz w:val="15"/>
              </w:rPr>
              <w:t>Completion guarantor intervention, overrun funding or takeover as written</w:t>
            </w:r>
          </w:p>
        </w:tc>
        <w:tc>
          <w:tcPr>
            <w:tcW w:type="dxa" w:w="2030"/>
            <w:tcMar>
              <w:top w:w="90" w:type="dxa"/>
              <w:start w:w="120" w:type="dxa"/>
              <w:bottom w:w="90" w:type="dxa"/>
              <w:end w:w="120" w:type="dxa"/>
            </w:tcMar>
            <w:vAlign w:val="center"/>
          </w:tcPr>
          <w:p>
            <w:pPr>
              <w:spacing w:after="0" w:line="252" w:lineRule="auto"/>
              <w:jc w:val="left"/>
            </w:pPr>
            <w:r>
              <w:rPr>
                <w:rFonts w:ascii="Calibri" w:hAnsi="Calibri"/>
                <w:b w:val="0"/>
                <w:color w:val="17212B"/>
                <w:sz w:val="15"/>
              </w:rPr>
              <w:t>Coverage defenses, excluded costs and remedy-election risk</w:t>
            </w:r>
          </w:p>
        </w:tc>
      </w:tr>
      <w:tr>
        <w:trPr>
          <w:cantSplit/>
        </w:trPr>
        <w:tc>
          <w:tcPr>
            <w:tcW w:type="dxa" w:w="188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Production cannot be completed</w:t>
            </w:r>
          </w:p>
        </w:tc>
        <w:tc>
          <w:tcPr>
            <w:tcW w:type="dxa" w:w="274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Completion guarantor determines whether to complete or abandon</w:t>
            </w:r>
          </w:p>
        </w:tc>
        <w:tc>
          <w:tcPr>
            <w:tcW w:type="dxa" w:w="271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Repayment remedy if the executed guaranty provides it</w:t>
            </w:r>
          </w:p>
        </w:tc>
        <w:tc>
          <w:tcPr>
            <w:tcW w:type="dxa" w:w="203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Caps, exclusions, beneficiary status and claim compliance</w:t>
            </w:r>
          </w:p>
        </w:tc>
      </w:tr>
      <w:tr>
        <w:trPr>
          <w:cantSplit/>
        </w:trPr>
        <w:tc>
          <w:tcPr>
            <w:tcW w:type="dxa" w:w="1880"/>
            <w:tcMar>
              <w:top w:w="90" w:type="dxa"/>
              <w:start w:w="120" w:type="dxa"/>
              <w:bottom w:w="90" w:type="dxa"/>
              <w:end w:w="120" w:type="dxa"/>
            </w:tcMar>
            <w:vAlign w:val="center"/>
          </w:tcPr>
          <w:p>
            <w:pPr>
              <w:spacing w:after="0" w:line="252" w:lineRule="auto"/>
              <w:jc w:val="left"/>
            </w:pPr>
            <w:r>
              <w:rPr>
                <w:rFonts w:ascii="Calibri" w:hAnsi="Calibri"/>
                <w:b w:val="0"/>
                <w:color w:val="17212B"/>
                <w:sz w:val="15"/>
              </w:rPr>
              <w:t>Film is delivered but distributor does not pay MG</w:t>
            </w:r>
          </w:p>
        </w:tc>
        <w:tc>
          <w:tcPr>
            <w:tcW w:type="dxa" w:w="2740"/>
            <w:tcMar>
              <w:top w:w="90" w:type="dxa"/>
              <w:start w:w="120" w:type="dxa"/>
              <w:bottom w:w="90" w:type="dxa"/>
              <w:end w:w="120" w:type="dxa"/>
            </w:tcMar>
            <w:vAlign w:val="center"/>
          </w:tcPr>
          <w:p>
            <w:pPr>
              <w:spacing w:after="0" w:line="252" w:lineRule="auto"/>
              <w:jc w:val="left"/>
            </w:pPr>
            <w:r>
              <w:rPr>
                <w:rFonts w:ascii="Calibri" w:hAnsi="Calibri"/>
                <w:b w:val="0"/>
                <w:color w:val="17212B"/>
                <w:sz w:val="15"/>
              </w:rPr>
              <w:t>Assignment, payment direction, account control and obligor remedies</w:t>
            </w:r>
          </w:p>
        </w:tc>
        <w:tc>
          <w:tcPr>
            <w:tcW w:type="dxa" w:w="2710"/>
            <w:tcMar>
              <w:top w:w="90" w:type="dxa"/>
              <w:start w:w="120" w:type="dxa"/>
              <w:bottom w:w="90" w:type="dxa"/>
              <w:end w:w="120" w:type="dxa"/>
            </w:tcMar>
            <w:vAlign w:val="center"/>
          </w:tcPr>
          <w:p>
            <w:pPr>
              <w:spacing w:after="0" w:line="252" w:lineRule="auto"/>
              <w:jc w:val="left"/>
            </w:pPr>
            <w:r>
              <w:rPr>
                <w:rFonts w:ascii="Calibri" w:hAnsi="Calibri"/>
                <w:b w:val="0"/>
                <w:color w:val="17212B"/>
                <w:sz w:val="15"/>
              </w:rPr>
              <w:t>Specific surety/credit/media-obligation cover if actually purchased</w:t>
            </w:r>
          </w:p>
        </w:tc>
        <w:tc>
          <w:tcPr>
            <w:tcW w:type="dxa" w:w="2030"/>
            <w:tcMar>
              <w:top w:w="90" w:type="dxa"/>
              <w:start w:w="120" w:type="dxa"/>
              <w:bottom w:w="90" w:type="dxa"/>
              <w:end w:w="120" w:type="dxa"/>
            </w:tcMar>
            <w:vAlign w:val="center"/>
          </w:tcPr>
          <w:p>
            <w:pPr>
              <w:spacing w:after="0" w:line="252" w:lineRule="auto"/>
              <w:jc w:val="left"/>
            </w:pPr>
            <w:r>
              <w:rPr>
                <w:rFonts w:ascii="Calibri" w:hAnsi="Calibri"/>
                <w:b w:val="0"/>
                <w:color w:val="17212B"/>
                <w:sz w:val="15"/>
              </w:rPr>
              <w:t>Distributor insolvency, defenses, setoff, policy exclusions and timing</w:t>
            </w:r>
          </w:p>
        </w:tc>
      </w:tr>
      <w:tr>
        <w:trPr>
          <w:cantSplit/>
        </w:trPr>
        <w:tc>
          <w:tcPr>
            <w:tcW w:type="dxa" w:w="188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Unsold territories underperform</w:t>
            </w:r>
          </w:p>
        </w:tc>
        <w:tc>
          <w:tcPr>
            <w:tcW w:type="dxa" w:w="274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Conservative gap sizing and sales execution</w:t>
            </w:r>
          </w:p>
        </w:tc>
        <w:tc>
          <w:tcPr>
            <w:tcW w:type="dxa" w:w="271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Collateral diversification and early amortization</w:t>
            </w:r>
          </w:p>
        </w:tc>
        <w:tc>
          <w:tcPr>
            <w:tcW w:type="dxa" w:w="203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5"/>
              </w:rPr>
              <w:t>Commercial valuation risk; ordinary insurance and completion coverage do not make sales occur</w:t>
            </w:r>
          </w:p>
        </w:tc>
      </w:tr>
    </w:tbl>
    <w:p>
      <w:pPr>
        <w:spacing w:after="40"/>
      </w:pPr>
    </w:p>
    <w:p>
      <w:pPr>
        <w:pStyle w:val="Heading1"/>
        <w:keepNext/>
        <w:pageBreakBefore w:val="0"/>
      </w:pPr>
      <w:r>
        <w:rPr>
          <w:rFonts w:ascii="Calibri" w:hAnsi="Calibri"/>
          <w:b/>
          <w:color w:val="173B5E"/>
          <w:sz w:val="34"/>
        </w:rPr>
        <w:t>9. Comparison framework for a finance committee</w:t>
      </w:r>
    </w:p>
    <w:p>
      <w:pPr>
        <w:keepLines w:val="0"/>
        <w:spacing w:before="0" w:after="120" w:line="271" w:lineRule="auto"/>
      </w:pPr>
      <w:r>
        <w:rPr>
          <w:rFonts w:ascii="Calibri" w:hAnsi="Calibri"/>
          <w:color w:val="17212B"/>
          <w:sz w:val="21"/>
        </w:rPr>
        <w:t>A market participant should be selected against the transaction’s actual problem. The following framework avoids mistaking a strong institution for the wrong product or assuming that multiple branded protections cover the same loss.</w:t>
      </w:r>
    </w:p>
    <w:p>
      <w:pPr>
        <w:pStyle w:val="ListBullet"/>
        <w:spacing w:after="80" w:line="269" w:lineRule="auto"/>
        <w:ind w:left="576" w:hanging="288"/>
      </w:pPr>
      <w:r>
        <w:rPr>
          <w:rFonts w:ascii="Calibri" w:hAnsi="Calibri"/>
          <w:b/>
          <w:color w:val="173B5E"/>
          <w:sz w:val="21"/>
        </w:rPr>
        <w:t xml:space="preserve">Product fit. </w:t>
      </w:r>
      <w:r>
        <w:rPr>
          <w:rFonts w:ascii="Calibri" w:hAnsi="Calibri"/>
          <w:color w:val="17212B"/>
          <w:sz w:val="21"/>
        </w:rPr>
        <w:t>Is the exposure a single production, a borrower revolver, a library/IP loan, a company cash-flow loan, mezzanine or equity?</w:t>
      </w:r>
    </w:p>
    <w:p>
      <w:pPr>
        <w:pStyle w:val="ListBullet"/>
        <w:spacing w:after="80" w:line="269" w:lineRule="auto"/>
        <w:ind w:left="576" w:hanging="288"/>
      </w:pPr>
      <w:r>
        <w:rPr>
          <w:rFonts w:ascii="Calibri" w:hAnsi="Calibri"/>
          <w:b/>
          <w:color w:val="173B5E"/>
          <w:sz w:val="21"/>
        </w:rPr>
        <w:t xml:space="preserve">Repayment asset. </w:t>
      </w:r>
      <w:r>
        <w:rPr>
          <w:rFonts w:ascii="Calibri" w:hAnsi="Calibri"/>
          <w:color w:val="17212B"/>
          <w:sz w:val="21"/>
        </w:rPr>
        <w:t>Which executed contract, incentive, controlled revenue or enterprise cash flow repays principal? What is excluded from eligibility?</w:t>
      </w:r>
    </w:p>
    <w:p>
      <w:pPr>
        <w:pStyle w:val="ListBullet"/>
        <w:spacing w:after="80" w:line="269" w:lineRule="auto"/>
        <w:ind w:left="576" w:hanging="288"/>
      </w:pPr>
      <w:r>
        <w:rPr>
          <w:rFonts w:ascii="Calibri" w:hAnsi="Calibri"/>
          <w:b/>
          <w:color w:val="173B5E"/>
          <w:sz w:val="21"/>
        </w:rPr>
        <w:t xml:space="preserve">Capital authority. </w:t>
      </w:r>
      <w:r>
        <w:rPr>
          <w:rFonts w:ascii="Calibri" w:hAnsi="Calibri"/>
          <w:color w:val="17212B"/>
          <w:sz w:val="21"/>
        </w:rPr>
        <w:t>Which legal vehicle is committing funds? What is the hold amount, approval process, syndication dependency and certainty of close?</w:t>
      </w:r>
    </w:p>
    <w:p>
      <w:pPr>
        <w:pStyle w:val="ListBullet"/>
        <w:spacing w:after="80" w:line="269" w:lineRule="auto"/>
        <w:ind w:left="576" w:hanging="288"/>
      </w:pPr>
      <w:r>
        <w:rPr>
          <w:rFonts w:ascii="Calibri" w:hAnsi="Calibri"/>
          <w:b/>
          <w:color w:val="173B5E"/>
          <w:sz w:val="21"/>
        </w:rPr>
        <w:t xml:space="preserve">Risk carrier. </w:t>
      </w:r>
      <w:r>
        <w:rPr>
          <w:rFonts w:ascii="Calibri" w:hAnsi="Calibri"/>
          <w:color w:val="17212B"/>
          <w:sz w:val="21"/>
        </w:rPr>
        <w:t>Which legal entity signs the policy, guaranty or bond? Is the brand an insurer, MGU, broker, risk manager, syndicate or reinsurer?</w:t>
      </w:r>
    </w:p>
    <w:p>
      <w:pPr>
        <w:pStyle w:val="ListBullet"/>
        <w:spacing w:after="80" w:line="269" w:lineRule="auto"/>
        <w:ind w:left="576" w:hanging="288"/>
      </w:pPr>
      <w:r>
        <w:rPr>
          <w:rFonts w:ascii="Calibri" w:hAnsi="Calibri"/>
          <w:b/>
          <w:color w:val="173B5E"/>
          <w:sz w:val="21"/>
        </w:rPr>
        <w:t xml:space="preserve">Legal priority. </w:t>
      </w:r>
      <w:r>
        <w:rPr>
          <w:rFonts w:ascii="Calibri" w:hAnsi="Calibri"/>
          <w:color w:val="17212B"/>
          <w:sz w:val="21"/>
        </w:rPr>
        <w:t>Who holds first lien, copyright mortgage, account control and assigned rights? How do lender and completion-guarantor liens interact?</w:t>
      </w:r>
    </w:p>
    <w:p>
      <w:pPr>
        <w:pStyle w:val="ListBullet"/>
        <w:spacing w:after="80" w:line="269" w:lineRule="auto"/>
        <w:ind w:left="576" w:hanging="288"/>
      </w:pPr>
      <w:r>
        <w:rPr>
          <w:rFonts w:ascii="Calibri" w:hAnsi="Calibri"/>
          <w:b/>
          <w:color w:val="173B5E"/>
          <w:sz w:val="21"/>
        </w:rPr>
        <w:t xml:space="preserve">Coverage mechanics. </w:t>
      </w:r>
      <w:r>
        <w:rPr>
          <w:rFonts w:ascii="Calibri" w:hAnsi="Calibri"/>
          <w:color w:val="17212B"/>
          <w:sz w:val="21"/>
        </w:rPr>
        <w:t>What are the insured/bonded obligations, limits, exclusions, deductibles, notice deadlines, cure rights and remedy elections?</w:t>
      </w:r>
    </w:p>
    <w:p>
      <w:pPr>
        <w:pStyle w:val="ListBullet"/>
        <w:spacing w:after="80" w:line="269" w:lineRule="auto"/>
        <w:ind w:left="576" w:hanging="288"/>
      </w:pPr>
      <w:r>
        <w:rPr>
          <w:rFonts w:ascii="Calibri" w:hAnsi="Calibri"/>
          <w:b/>
          <w:color w:val="173B5E"/>
          <w:sz w:val="21"/>
        </w:rPr>
        <w:t xml:space="preserve">Servicing and monitoring. </w:t>
      </w:r>
      <w:r>
        <w:rPr>
          <w:rFonts w:ascii="Calibri" w:hAnsi="Calibri"/>
          <w:color w:val="17212B"/>
          <w:sz w:val="21"/>
        </w:rPr>
        <w:t>Who receives cost reports, borrowing-base certificates, production reports and obligor notices, and who can intervene?</w:t>
      </w:r>
    </w:p>
    <w:p>
      <w:pPr>
        <w:pStyle w:val="ListBullet"/>
        <w:spacing w:after="80" w:line="269" w:lineRule="auto"/>
        <w:ind w:left="576" w:hanging="288"/>
      </w:pPr>
      <w:r>
        <w:rPr>
          <w:rFonts w:ascii="Calibri" w:hAnsi="Calibri"/>
          <w:b/>
          <w:color w:val="173B5E"/>
          <w:sz w:val="21"/>
        </w:rPr>
        <w:t xml:space="preserve">Normalized economics. </w:t>
      </w:r>
      <w:r>
        <w:rPr>
          <w:rFonts w:ascii="Calibri" w:hAnsi="Calibri"/>
          <w:color w:val="17212B"/>
          <w:sz w:val="21"/>
        </w:rPr>
        <w:t>Compare coupon, OID, fees, reserves, capitalized interest, default/extension pricing, unused fees and timing on an XIRR basis.</w:t>
      </w:r>
    </w:p>
    <w:p>
      <w:pPr>
        <w:pStyle w:val="ListBullet"/>
        <w:spacing w:after="80" w:line="269" w:lineRule="auto"/>
        <w:ind w:left="576" w:hanging="288"/>
      </w:pPr>
      <w:r>
        <w:rPr>
          <w:rFonts w:ascii="Calibri" w:hAnsi="Calibri"/>
          <w:b/>
          <w:color w:val="173B5E"/>
          <w:sz w:val="21"/>
        </w:rPr>
        <w:t xml:space="preserve">Conflicts. </w:t>
      </w:r>
      <w:r>
        <w:rPr>
          <w:rFonts w:ascii="Calibri" w:hAnsi="Calibri"/>
          <w:color w:val="17212B"/>
          <w:sz w:val="21"/>
        </w:rPr>
        <w:t>Does any party also act as producer, broker, sales agent, advisor, servicer, equity investor or claims decision-maker?</w:t>
      </w:r>
    </w:p>
    <w:p>
      <w:pPr>
        <w:pStyle w:val="ListBullet"/>
        <w:spacing w:after="80" w:line="269" w:lineRule="auto"/>
        <w:ind w:left="576" w:hanging="288"/>
      </w:pPr>
      <w:r>
        <w:rPr>
          <w:rFonts w:ascii="Calibri" w:hAnsi="Calibri"/>
          <w:b/>
          <w:color w:val="173B5E"/>
          <w:sz w:val="21"/>
        </w:rPr>
        <w:t xml:space="preserve">Exit and recovery. </w:t>
      </w:r>
      <w:r>
        <w:rPr>
          <w:rFonts w:ascii="Calibri" w:hAnsi="Calibri"/>
          <w:color w:val="17212B"/>
          <w:sz w:val="21"/>
        </w:rPr>
        <w:t>Model repayment timing, late delivery, disputed acceptance, obligor default, claim delay, abandonment and collateral liquidation.</w:t>
      </w:r>
    </w:p>
    <w:p>
      <w:pPr>
        <w:pStyle w:val="Heading1"/>
        <w:keepNext/>
        <w:pageBreakBefore w:val="0"/>
      </w:pPr>
      <w:r>
        <w:rPr>
          <w:rFonts w:ascii="Calibri" w:hAnsi="Calibri"/>
          <w:b/>
          <w:color w:val="173B5E"/>
          <w:sz w:val="34"/>
        </w:rPr>
        <w:t>10. Completion-guaranty and insurance document checklist</w:t>
      </w:r>
    </w:p>
    <w:tbl>
      <w:tblPr>
        <w:tblStyle w:val="TableGrid"/>
        <w:tblW w:type="dxa" w:w="9360"/>
        <w:tblLayout w:type="fixed"/>
        <w:tblLook w:firstColumn="1" w:firstRow="1" w:lastColumn="0" w:lastRow="0" w:noHBand="0" w:noVBand="1" w:val="04A0"/>
        <w:jc w:val="left"/>
        <w:tblInd w:w="120" w:type="dxa"/>
      </w:tblPr>
      <w:tblGrid>
        <w:gridCol w:w="2080"/>
        <w:gridCol w:w="3710"/>
        <w:gridCol w:w="3570"/>
      </w:tblGrid>
      <w:tr>
        <w:trPr>
          <w:cantSplit/>
          <w:tblHeader w:val="true"/>
          <w:cantSplit/>
        </w:trPr>
        <w:tc>
          <w:tcPr>
            <w:tcW w:type="dxa" w:w="2080"/>
            <w:tcMar>
              <w:top w:w="90" w:type="dxa"/>
              <w:start w:w="120" w:type="dxa"/>
              <w:bottom w:w="90" w:type="dxa"/>
              <w:end w:w="120" w:type="dxa"/>
            </w:tcMar>
            <w:vAlign w:val="center"/>
            <w:shd w:fill="173B5E"/>
          </w:tcPr>
          <w:p>
            <w:pPr>
              <w:spacing w:after="0" w:line="252" w:lineRule="auto"/>
              <w:jc w:val="center"/>
            </w:pPr>
            <w:r>
              <w:rPr>
                <w:rFonts w:ascii="Calibri" w:hAnsi="Calibri"/>
                <w:b/>
                <w:color w:val="FFFFFF"/>
                <w:sz w:val="16"/>
              </w:rPr>
              <w:t>Document / fact</w:t>
            </w:r>
          </w:p>
        </w:tc>
        <w:tc>
          <w:tcPr>
            <w:tcW w:type="dxa" w:w="3710"/>
            <w:tcMar>
              <w:top w:w="90" w:type="dxa"/>
              <w:start w:w="120" w:type="dxa"/>
              <w:bottom w:w="90" w:type="dxa"/>
              <w:end w:w="120" w:type="dxa"/>
            </w:tcMar>
            <w:vAlign w:val="center"/>
            <w:shd w:fill="173B5E"/>
          </w:tcPr>
          <w:p>
            <w:pPr>
              <w:spacing w:after="0" w:line="252" w:lineRule="auto"/>
              <w:jc w:val="center"/>
            </w:pPr>
            <w:r>
              <w:rPr>
                <w:rFonts w:ascii="Calibri" w:hAnsi="Calibri"/>
                <w:b/>
                <w:color w:val="FFFFFF"/>
                <w:sz w:val="16"/>
              </w:rPr>
              <w:t>Why the financier needs it</w:t>
            </w:r>
          </w:p>
        </w:tc>
        <w:tc>
          <w:tcPr>
            <w:tcW w:type="dxa" w:w="3570"/>
            <w:tcMar>
              <w:top w:w="90" w:type="dxa"/>
              <w:start w:w="120" w:type="dxa"/>
              <w:bottom w:w="90" w:type="dxa"/>
              <w:end w:w="120" w:type="dxa"/>
            </w:tcMar>
            <w:vAlign w:val="center"/>
            <w:shd w:fill="173B5E"/>
          </w:tcPr>
          <w:p>
            <w:pPr>
              <w:spacing w:after="0" w:line="252" w:lineRule="auto"/>
              <w:jc w:val="center"/>
            </w:pPr>
            <w:r>
              <w:rPr>
                <w:rFonts w:ascii="Calibri" w:hAnsi="Calibri"/>
                <w:b/>
                <w:color w:val="FFFFFF"/>
                <w:sz w:val="16"/>
              </w:rPr>
              <w:t>Red flags</w:t>
            </w:r>
          </w:p>
        </w:tc>
      </w:tr>
      <w:tr>
        <w:trPr>
          <w:cantSplit/>
        </w:trPr>
        <w:tc>
          <w:tcPr>
            <w:tcW w:type="dxa" w:w="2080"/>
            <w:tcMar>
              <w:top w:w="90" w:type="dxa"/>
              <w:start w:w="120" w:type="dxa"/>
              <w:bottom w:w="90" w:type="dxa"/>
              <w:end w:w="120" w:type="dxa"/>
            </w:tcMar>
            <w:vAlign w:val="center"/>
          </w:tcPr>
          <w:p>
            <w:pPr>
              <w:spacing w:after="0" w:line="252" w:lineRule="auto"/>
              <w:jc w:val="left"/>
            </w:pPr>
            <w:r>
              <w:rPr>
                <w:rFonts w:ascii="Calibri" w:hAnsi="Calibri"/>
                <w:b w:val="0"/>
                <w:color w:val="17212B"/>
                <w:sz w:val="16"/>
              </w:rPr>
              <w:t>Executed guaranty and completion agreement</w:t>
            </w:r>
          </w:p>
        </w:tc>
        <w:tc>
          <w:tcPr>
            <w:tcW w:type="dxa" w:w="3710"/>
            <w:tcMar>
              <w:top w:w="90" w:type="dxa"/>
              <w:start w:w="120" w:type="dxa"/>
              <w:bottom w:w="90" w:type="dxa"/>
              <w:end w:w="120" w:type="dxa"/>
            </w:tcMar>
            <w:vAlign w:val="center"/>
          </w:tcPr>
          <w:p>
            <w:pPr>
              <w:spacing w:after="0" w:line="252" w:lineRule="auto"/>
              <w:jc w:val="left"/>
            </w:pPr>
            <w:r>
              <w:rPr>
                <w:rFonts w:ascii="Calibri" w:hAnsi="Calibri"/>
                <w:b w:val="0"/>
                <w:color w:val="17212B"/>
                <w:sz w:val="16"/>
              </w:rPr>
              <w:t>Defines beneficiary, strike price, covered obligations, remedy and termination</w:t>
            </w:r>
          </w:p>
        </w:tc>
        <w:tc>
          <w:tcPr>
            <w:tcW w:type="dxa" w:w="3570"/>
            <w:tcMar>
              <w:top w:w="90" w:type="dxa"/>
              <w:start w:w="120" w:type="dxa"/>
              <w:bottom w:w="90" w:type="dxa"/>
              <w:end w:w="120" w:type="dxa"/>
            </w:tcMar>
            <w:vAlign w:val="center"/>
          </w:tcPr>
          <w:p>
            <w:pPr>
              <w:spacing w:after="0" w:line="252" w:lineRule="auto"/>
              <w:jc w:val="left"/>
            </w:pPr>
            <w:r>
              <w:rPr>
                <w:rFonts w:ascii="Calibri" w:hAnsi="Calibri"/>
                <w:b w:val="0"/>
                <w:color w:val="17212B"/>
                <w:sz w:val="16"/>
              </w:rPr>
              <w:t>Marketing summary differs from form; financier is not named; cap is unclear</w:t>
            </w:r>
          </w:p>
        </w:tc>
      </w:tr>
      <w:tr>
        <w:trPr>
          <w:cantSplit/>
        </w:trPr>
        <w:tc>
          <w:tcPr>
            <w:tcW w:type="dxa" w:w="208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6"/>
              </w:rPr>
              <w:t>Interparty agreement</w:t>
            </w:r>
          </w:p>
        </w:tc>
        <w:tc>
          <w:tcPr>
            <w:tcW w:type="dxa" w:w="371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6"/>
              </w:rPr>
              <w:t>Allocates lender, guarantor, distributor and producer rights</w:t>
            </w:r>
          </w:p>
        </w:tc>
        <w:tc>
          <w:tcPr>
            <w:tcW w:type="dxa" w:w="357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6"/>
              </w:rPr>
              <w:t>Conflicting control rights, lien priority or cure mechanics</w:t>
            </w:r>
          </w:p>
        </w:tc>
      </w:tr>
      <w:tr>
        <w:trPr>
          <w:cantSplit/>
        </w:trPr>
        <w:tc>
          <w:tcPr>
            <w:tcW w:type="dxa" w:w="2080"/>
            <w:tcMar>
              <w:top w:w="90" w:type="dxa"/>
              <w:start w:w="120" w:type="dxa"/>
              <w:bottom w:w="90" w:type="dxa"/>
              <w:end w:w="120" w:type="dxa"/>
            </w:tcMar>
            <w:vAlign w:val="center"/>
          </w:tcPr>
          <w:p>
            <w:pPr>
              <w:spacing w:after="0" w:line="252" w:lineRule="auto"/>
              <w:jc w:val="left"/>
            </w:pPr>
            <w:r>
              <w:rPr>
                <w:rFonts w:ascii="Calibri" w:hAnsi="Calibri"/>
                <w:b w:val="0"/>
                <w:color w:val="17212B"/>
                <w:sz w:val="16"/>
              </w:rPr>
              <w:t>Carrier evidence and financial strength</w:t>
            </w:r>
          </w:p>
        </w:tc>
        <w:tc>
          <w:tcPr>
            <w:tcW w:type="dxa" w:w="3710"/>
            <w:tcMar>
              <w:top w:w="90" w:type="dxa"/>
              <w:start w:w="120" w:type="dxa"/>
              <w:bottom w:w="90" w:type="dxa"/>
              <w:end w:w="120" w:type="dxa"/>
            </w:tcMar>
            <w:vAlign w:val="center"/>
          </w:tcPr>
          <w:p>
            <w:pPr>
              <w:spacing w:after="0" w:line="252" w:lineRule="auto"/>
              <w:jc w:val="left"/>
            </w:pPr>
            <w:r>
              <w:rPr>
                <w:rFonts w:ascii="Calibri" w:hAnsi="Calibri"/>
                <w:b w:val="0"/>
                <w:color w:val="17212B"/>
                <w:sz w:val="16"/>
              </w:rPr>
              <w:t>Identifies the entity legally responsible for payment</w:t>
            </w:r>
          </w:p>
        </w:tc>
        <w:tc>
          <w:tcPr>
            <w:tcW w:type="dxa" w:w="3570"/>
            <w:tcMar>
              <w:top w:w="90" w:type="dxa"/>
              <w:start w:w="120" w:type="dxa"/>
              <w:bottom w:w="90" w:type="dxa"/>
              <w:end w:w="120" w:type="dxa"/>
            </w:tcMar>
            <w:vAlign w:val="center"/>
          </w:tcPr>
          <w:p>
            <w:pPr>
              <w:spacing w:after="0" w:line="252" w:lineRule="auto"/>
              <w:jc w:val="left"/>
            </w:pPr>
            <w:r>
              <w:rPr>
                <w:rFonts w:ascii="Calibri" w:hAnsi="Calibri"/>
                <w:b w:val="0"/>
                <w:color w:val="17212B"/>
                <w:sz w:val="16"/>
              </w:rPr>
              <w:t>Only brand-level references; reliance on undisclosed reinsurance; non-admitted issues</w:t>
            </w:r>
          </w:p>
        </w:tc>
      </w:tr>
      <w:tr>
        <w:trPr>
          <w:cantSplit/>
        </w:trPr>
        <w:tc>
          <w:tcPr>
            <w:tcW w:type="dxa" w:w="208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6"/>
              </w:rPr>
              <w:t>Insurance policies and endorsements</w:t>
            </w:r>
          </w:p>
        </w:tc>
        <w:tc>
          <w:tcPr>
            <w:tcW w:type="dxa" w:w="371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6"/>
              </w:rPr>
              <w:t>Confirms named insureds, additional insureds, loss payees and covered production</w:t>
            </w:r>
          </w:p>
        </w:tc>
        <w:tc>
          <w:tcPr>
            <w:tcW w:type="dxa" w:w="357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6"/>
              </w:rPr>
              <w:t>Missing cast schedule, lender endorsement, territory or correct production entity</w:t>
            </w:r>
          </w:p>
        </w:tc>
      </w:tr>
      <w:tr>
        <w:trPr>
          <w:cantSplit/>
        </w:trPr>
        <w:tc>
          <w:tcPr>
            <w:tcW w:type="dxa" w:w="2080"/>
            <w:tcMar>
              <w:top w:w="90" w:type="dxa"/>
              <w:start w:w="120" w:type="dxa"/>
              <w:bottom w:w="90" w:type="dxa"/>
              <w:end w:w="120" w:type="dxa"/>
            </w:tcMar>
            <w:vAlign w:val="center"/>
          </w:tcPr>
          <w:p>
            <w:pPr>
              <w:spacing w:after="0" w:line="252" w:lineRule="auto"/>
              <w:jc w:val="left"/>
            </w:pPr>
            <w:r>
              <w:rPr>
                <w:rFonts w:ascii="Calibri" w:hAnsi="Calibri"/>
                <w:b w:val="0"/>
                <w:color w:val="17212B"/>
                <w:sz w:val="16"/>
              </w:rPr>
              <w:t>Claims protocol</w:t>
            </w:r>
          </w:p>
        </w:tc>
        <w:tc>
          <w:tcPr>
            <w:tcW w:type="dxa" w:w="3710"/>
            <w:tcMar>
              <w:top w:w="90" w:type="dxa"/>
              <w:start w:w="120" w:type="dxa"/>
              <w:bottom w:w="90" w:type="dxa"/>
              <w:end w:w="120" w:type="dxa"/>
            </w:tcMar>
            <w:vAlign w:val="center"/>
          </w:tcPr>
          <w:p>
            <w:pPr>
              <w:spacing w:after="0" w:line="252" w:lineRule="auto"/>
              <w:jc w:val="left"/>
            </w:pPr>
            <w:r>
              <w:rPr>
                <w:rFonts w:ascii="Calibri" w:hAnsi="Calibri"/>
                <w:b w:val="0"/>
                <w:color w:val="17212B"/>
                <w:sz w:val="16"/>
              </w:rPr>
              <w:t>Preserves notice, proof, cure and escalation rights</w:t>
            </w:r>
          </w:p>
        </w:tc>
        <w:tc>
          <w:tcPr>
            <w:tcW w:type="dxa" w:w="3570"/>
            <w:tcMar>
              <w:top w:w="90" w:type="dxa"/>
              <w:start w:w="120" w:type="dxa"/>
              <w:bottom w:w="90" w:type="dxa"/>
              <w:end w:w="120" w:type="dxa"/>
            </w:tcMar>
            <w:vAlign w:val="center"/>
          </w:tcPr>
          <w:p>
            <w:pPr>
              <w:spacing w:after="0" w:line="252" w:lineRule="auto"/>
              <w:jc w:val="left"/>
            </w:pPr>
            <w:r>
              <w:rPr>
                <w:rFonts w:ascii="Calibri" w:hAnsi="Calibri"/>
                <w:b w:val="0"/>
                <w:color w:val="17212B"/>
                <w:sz w:val="16"/>
              </w:rPr>
              <w:t>Short deadlines, consent traps, no duplicate notice to lender</w:t>
            </w:r>
          </w:p>
        </w:tc>
      </w:tr>
      <w:tr>
        <w:trPr>
          <w:cantSplit/>
        </w:trPr>
        <w:tc>
          <w:tcPr>
            <w:tcW w:type="dxa" w:w="208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6"/>
              </w:rPr>
              <w:t>Assignment and account control</w:t>
            </w:r>
          </w:p>
        </w:tc>
        <w:tc>
          <w:tcPr>
            <w:tcW w:type="dxa" w:w="371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6"/>
              </w:rPr>
              <w:t>Directs receivables and claims proceeds into the controlled waterfall</w:t>
            </w:r>
          </w:p>
        </w:tc>
        <w:tc>
          <w:tcPr>
            <w:tcW w:type="dxa" w:w="357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6"/>
              </w:rPr>
              <w:t>Revocable instructions, setoff, amendments without consent or uncontrolled account</w:t>
            </w:r>
          </w:p>
        </w:tc>
      </w:tr>
      <w:tr>
        <w:trPr>
          <w:cantSplit/>
        </w:trPr>
        <w:tc>
          <w:tcPr>
            <w:tcW w:type="dxa" w:w="2080"/>
            <w:tcMar>
              <w:top w:w="90" w:type="dxa"/>
              <w:start w:w="120" w:type="dxa"/>
              <w:bottom w:w="90" w:type="dxa"/>
              <w:end w:w="120" w:type="dxa"/>
            </w:tcMar>
            <w:vAlign w:val="center"/>
          </w:tcPr>
          <w:p>
            <w:pPr>
              <w:spacing w:after="0" w:line="252" w:lineRule="auto"/>
              <w:jc w:val="left"/>
            </w:pPr>
            <w:r>
              <w:rPr>
                <w:rFonts w:ascii="Calibri" w:hAnsi="Calibri"/>
                <w:b w:val="0"/>
                <w:color w:val="17212B"/>
                <w:sz w:val="16"/>
              </w:rPr>
              <w:t>Budget, schedule and cost reports</w:t>
            </w:r>
          </w:p>
        </w:tc>
        <w:tc>
          <w:tcPr>
            <w:tcW w:type="dxa" w:w="3710"/>
            <w:tcMar>
              <w:top w:w="90" w:type="dxa"/>
              <w:start w:w="120" w:type="dxa"/>
              <w:bottom w:w="90" w:type="dxa"/>
              <w:end w:w="120" w:type="dxa"/>
            </w:tcMar>
            <w:vAlign w:val="center"/>
          </w:tcPr>
          <w:p>
            <w:pPr>
              <w:spacing w:after="0" w:line="252" w:lineRule="auto"/>
              <w:jc w:val="left"/>
            </w:pPr>
            <w:r>
              <w:rPr>
                <w:rFonts w:ascii="Calibri" w:hAnsi="Calibri"/>
                <w:b w:val="0"/>
                <w:color w:val="17212B"/>
                <w:sz w:val="16"/>
              </w:rPr>
              <w:t>Tests continuing cost-to-complete and compliance with bond assumptions</w:t>
            </w:r>
          </w:p>
        </w:tc>
        <w:tc>
          <w:tcPr>
            <w:tcW w:type="dxa" w:w="3570"/>
            <w:tcMar>
              <w:top w:w="90" w:type="dxa"/>
              <w:start w:w="120" w:type="dxa"/>
              <w:bottom w:w="90" w:type="dxa"/>
              <w:end w:w="120" w:type="dxa"/>
            </w:tcMar>
            <w:vAlign w:val="center"/>
          </w:tcPr>
          <w:p>
            <w:pPr>
              <w:spacing w:after="0" w:line="252" w:lineRule="auto"/>
              <w:jc w:val="left"/>
            </w:pPr>
            <w:r>
              <w:rPr>
                <w:rFonts w:ascii="Calibri" w:hAnsi="Calibri"/>
                <w:b w:val="0"/>
                <w:color w:val="17212B"/>
                <w:sz w:val="16"/>
              </w:rPr>
              <w:t>Early contingency usage, stale reports, optimistic post schedule or unfunded enhancements</w:t>
            </w:r>
          </w:p>
        </w:tc>
      </w:tr>
      <w:tr>
        <w:trPr>
          <w:cantSplit/>
        </w:trPr>
        <w:tc>
          <w:tcPr>
            <w:tcW w:type="dxa" w:w="208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6"/>
              </w:rPr>
              <w:t>Release conditions</w:t>
            </w:r>
          </w:p>
        </w:tc>
        <w:tc>
          <w:tcPr>
            <w:tcW w:type="dxa" w:w="371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6"/>
              </w:rPr>
              <w:t>Prevents premature release of guarantor, liens or controlled funds</w:t>
            </w:r>
          </w:p>
        </w:tc>
        <w:tc>
          <w:tcPr>
            <w:tcW w:type="dxa" w:w="3570"/>
            <w:shd w:fill="F4F8FB"/>
            <w:tcMar>
              <w:top w:w="90" w:type="dxa"/>
              <w:start w:w="120" w:type="dxa"/>
              <w:bottom w:w="90" w:type="dxa"/>
              <w:end w:w="120" w:type="dxa"/>
            </w:tcMar>
            <w:vAlign w:val="center"/>
          </w:tcPr>
          <w:p>
            <w:pPr>
              <w:spacing w:after="0" w:line="252" w:lineRule="auto"/>
              <w:jc w:val="left"/>
            </w:pPr>
            <w:r>
              <w:rPr>
                <w:rFonts w:ascii="Calibri" w:hAnsi="Calibri"/>
                <w:b w:val="0"/>
                <w:color w:val="17212B"/>
                <w:sz w:val="16"/>
              </w:rPr>
              <w:t>Release before final delivery, acceptance, claims resolution or lender repayment</w:t>
            </w:r>
          </w:p>
        </w:tc>
      </w:tr>
    </w:tbl>
    <w:p>
      <w:pPr>
        <w:spacing w:after="40"/>
      </w:pPr>
    </w:p>
    <w:p>
      <w:pPr>
        <w:pStyle w:val="Heading1"/>
        <w:keepNext/>
        <w:pageBreakBefore w:val="0"/>
      </w:pPr>
      <w:r>
        <w:rPr>
          <w:rFonts w:ascii="Calibri" w:hAnsi="Calibri"/>
          <w:b/>
          <w:color w:val="173B5E"/>
          <w:sz w:val="34"/>
        </w:rPr>
        <w:t>11. Common classification errors</w:t>
      </w:r>
    </w:p>
    <w:p>
      <w:pPr>
        <w:keepLines w:val="0"/>
        <w:spacing w:before="0" w:after="100" w:line="271" w:lineRule="auto"/>
      </w:pPr>
      <w:r>
        <w:rPr>
          <w:rFonts w:ascii="Calibri" w:hAnsi="Calibri"/>
          <w:b/>
          <w:color w:val="173B5E"/>
          <w:sz w:val="21"/>
        </w:rPr>
        <w:t xml:space="preserve">Calling Lloyd's the insurer. </w:t>
      </w:r>
      <w:r>
        <w:rPr>
          <w:rFonts w:ascii="Calibri" w:hAnsi="Calibri"/>
          <w:color w:val="17212B"/>
          <w:sz w:val="21"/>
        </w:rPr>
        <w:t>The Lloyd's name identifies a marketplace. The policy must identify participating syndicates and their shares.</w:t>
      </w:r>
    </w:p>
    <w:p>
      <w:pPr>
        <w:keepLines w:val="0"/>
        <w:spacing w:before="0" w:after="100" w:line="271" w:lineRule="auto"/>
      </w:pPr>
      <w:r>
        <w:rPr>
          <w:rFonts w:ascii="Calibri" w:hAnsi="Calibri"/>
          <w:b/>
          <w:color w:val="173B5E"/>
          <w:sz w:val="21"/>
        </w:rPr>
        <w:t xml:space="preserve">Treating the completion company as the carrier. </w:t>
      </w:r>
      <w:r>
        <w:rPr>
          <w:rFonts w:ascii="Calibri" w:hAnsi="Calibri"/>
          <w:color w:val="17212B"/>
          <w:sz w:val="21"/>
        </w:rPr>
        <w:t>Some completion brands act as MGUs or risk managers while a licensed insurer issues the guaranty.</w:t>
      </w:r>
    </w:p>
    <w:p>
      <w:pPr>
        <w:keepLines w:val="0"/>
        <w:spacing w:before="0" w:after="100" w:line="271" w:lineRule="auto"/>
      </w:pPr>
      <w:r>
        <w:rPr>
          <w:rFonts w:ascii="Calibri" w:hAnsi="Calibri"/>
          <w:b/>
          <w:color w:val="173B5E"/>
          <w:sz w:val="21"/>
        </w:rPr>
        <w:t xml:space="preserve">Assuming production insurance guarantees completion. </w:t>
      </w:r>
      <w:r>
        <w:rPr>
          <w:rFonts w:ascii="Calibri" w:hAnsi="Calibri"/>
          <w:color w:val="17212B"/>
          <w:sz w:val="21"/>
        </w:rPr>
        <w:t>Named-peril indemnity can fund covered losses but does not generally promise delivery of the entire picture.</w:t>
      </w:r>
    </w:p>
    <w:p>
      <w:pPr>
        <w:keepLines w:val="0"/>
        <w:spacing w:before="0" w:after="100" w:line="271" w:lineRule="auto"/>
      </w:pPr>
      <w:r>
        <w:rPr>
          <w:rFonts w:ascii="Calibri" w:hAnsi="Calibri"/>
          <w:b/>
          <w:color w:val="173B5E"/>
          <w:sz w:val="21"/>
        </w:rPr>
        <w:t xml:space="preserve">Assuming a completion bond guarantees repayment of an MG. </w:t>
      </w:r>
      <w:r>
        <w:rPr>
          <w:rFonts w:ascii="Calibri" w:hAnsi="Calibri"/>
          <w:color w:val="17212B"/>
          <w:sz w:val="21"/>
        </w:rPr>
        <w:t>It may protect the delivery condition; it does not ordinarily insure distributor solvency or willingness to pay.</w:t>
      </w:r>
    </w:p>
    <w:p>
      <w:pPr>
        <w:keepLines w:val="0"/>
        <w:spacing w:before="0" w:after="100" w:line="271" w:lineRule="auto"/>
      </w:pPr>
      <w:r>
        <w:rPr>
          <w:rFonts w:ascii="Calibri" w:hAnsi="Calibri"/>
          <w:b/>
          <w:color w:val="173B5E"/>
          <w:sz w:val="21"/>
        </w:rPr>
        <w:t xml:space="preserve">Counting acquired or combined platforms twice. </w:t>
      </w:r>
      <w:r>
        <w:rPr>
          <w:rFonts w:ascii="Calibri" w:hAnsi="Calibri"/>
          <w:color w:val="17212B"/>
          <w:sz w:val="21"/>
        </w:rPr>
        <w:t>Fifth Third/Comerica and Film Finances/Media Guarantors must be mapped with their current ownership or announced combination.</w:t>
      </w:r>
    </w:p>
    <w:p>
      <w:pPr>
        <w:keepLines w:val="0"/>
        <w:spacing w:before="0" w:after="100" w:line="271" w:lineRule="auto"/>
      </w:pPr>
      <w:r>
        <w:rPr>
          <w:rFonts w:ascii="Calibri" w:hAnsi="Calibri"/>
          <w:b/>
          <w:color w:val="173B5E"/>
          <w:sz w:val="21"/>
        </w:rPr>
        <w:t xml:space="preserve">Comparing project debt with equity or company-level private credit. </w:t>
      </w:r>
      <w:r>
        <w:rPr>
          <w:rFonts w:ascii="Calibri" w:hAnsi="Calibri"/>
          <w:color w:val="17212B"/>
          <w:sz w:val="21"/>
        </w:rPr>
        <w:t>Match collateral, lien, borrower, duration and loss severity before comparing pricing or market share.</w:t>
      </w:r>
    </w:p>
    <w:p>
      <w:pPr>
        <w:keepLines w:val="0"/>
        <w:spacing w:before="0" w:after="100" w:line="271" w:lineRule="auto"/>
      </w:pPr>
      <w:r>
        <w:rPr>
          <w:rFonts w:ascii="Calibri" w:hAnsi="Calibri"/>
          <w:b/>
          <w:color w:val="173B5E"/>
          <w:sz w:val="21"/>
        </w:rPr>
        <w:t xml:space="preserve">Relying on a provider website as a credit box. </w:t>
      </w:r>
      <w:r>
        <w:rPr>
          <w:rFonts w:ascii="Calibri" w:hAnsi="Calibri"/>
          <w:color w:val="17212B"/>
          <w:sz w:val="21"/>
        </w:rPr>
        <w:t>Public descriptions do not establish current capacity, pricing, exceptions or approval for a specific transaction.</w:t>
      </w:r>
    </w:p>
    <w:p>
      <w:pPr>
        <w:pStyle w:val="Heading1"/>
        <w:keepNext/>
        <w:pageBreakBefore w:val="0"/>
      </w:pPr>
      <w:r>
        <w:rPr>
          <w:rFonts w:ascii="Calibri" w:hAnsi="Calibri"/>
          <w:b/>
          <w:color w:val="173B5E"/>
          <w:sz w:val="34"/>
        </w:rPr>
        <w:t>Bottom line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90" w:type="dxa"/>
              <w:start w:w="120" w:type="dxa"/>
              <w:bottom w:w="90" w:type="dxa"/>
              <w:end w:w="120" w:type="dxa"/>
            </w:tcMar>
            <w:vAlign w:val="center"/>
            <w:shd w:fill="EAF2F8"/>
          </w:tcPr>
          <w:p>
            <w:pPr>
              <w:spacing w:after="0" w:line="264" w:lineRule="auto"/>
            </w:pPr>
            <w:r>
              <w:rPr>
                <w:rFonts w:ascii="Calibri" w:hAnsi="Calibri"/>
                <w:b/>
                <w:color w:val="173B5E"/>
                <w:sz w:val="20"/>
              </w:rPr>
              <w:t xml:space="preserve">FOR FINANCIERS  </w:t>
            </w:r>
            <w:r>
              <w:rPr>
                <w:rFonts w:ascii="Calibri" w:hAnsi="Calibri"/>
                <w:color w:val="17212B"/>
                <w:sz w:val="20"/>
              </w:rPr>
              <w:t>The media-finance market is best understood as a stack of specialized functions. Banks and lenders determine how capital is advanced and repaid. Insurers absorb defined event losses. Completion guarantors underwrite and monitor delivery. Credit or surety products, when separately issued, may protect a specified payment obligation. A robust structure names the correct legal entities, avoids double-counting protections and aligns every remedy with the same collateral, account-control and interparty framework. Brand recognition is useful; documentary privity is decisive.</w:t>
            </w:r>
          </w:p>
        </w:tc>
      </w:tr>
    </w:tbl>
    <w:p>
      <w:pPr>
        <w:spacing w:after="40"/>
      </w:pPr>
    </w:p>
    <w:p>
      <w:pPr>
        <w:pStyle w:val="Heading1"/>
        <w:keepNext/>
        <w:pageBreakBefore w:val="0"/>
      </w:pPr>
      <w:r>
        <w:rPr>
          <w:rFonts w:ascii="Calibri" w:hAnsi="Calibri"/>
          <w:b/>
          <w:color w:val="173B5E"/>
          <w:sz w:val="34"/>
        </w:rPr>
        <w:t>Source notes</w:t>
      </w:r>
    </w:p>
    <w:p>
      <w:pPr>
        <w:keepLines w:val="0"/>
        <w:spacing w:before="0" w:after="200" w:line="271" w:lineRule="auto"/>
      </w:pPr>
      <w:r>
        <w:rPr>
          <w:rFonts w:ascii="Calibri" w:hAnsi="Calibri"/>
          <w:color w:val="17212B"/>
          <w:sz w:val="21"/>
        </w:rPr>
        <w:t>All links below were reviewed for this guide and were accessible on August 10, 2026. Company materials are cited for their own publicly stated capabilities. The Film Finances / Media Guarantors combination is cited to current trade reporting because the transaction was announced recently. No proprietary MediaHedge information was used in the company profiles or market classifications.</w:t>
      </w:r>
    </w:p>
    <w:p>
      <w:pPr>
        <w:pStyle w:val="Heading2"/>
        <w:keepNext/>
        <w:pageBreakBefore w:val="0"/>
      </w:pPr>
      <w:r>
        <w:rPr>
          <w:rFonts w:ascii="Calibri" w:hAnsi="Calibri"/>
          <w:b/>
          <w:color w:val="173B5E"/>
          <w:sz w:val="27"/>
        </w:rPr>
        <w:t>Banks</w:t>
      </w:r>
    </w:p>
    <w:p>
      <w:pPr>
        <w:keepLines w:val="0"/>
        <w:spacing w:before="0" w:after="60" w:line="271" w:lineRule="auto"/>
        <w:ind w:left="259"/>
      </w:pPr>
      <w:r>
        <w:rPr>
          <w:rFonts w:ascii="Calibri" w:hAnsi="Calibri"/>
          <w:b/>
          <w:color w:val="173B5E"/>
          <w:sz w:val="17"/>
        </w:rPr>
        <w:t xml:space="preserve">[B1] </w:t>
      </w:r>
      <w:hyperlink r:id="rId11">
        <w:r>
          <w:rPr>
            <w:rFonts w:ascii="Calibri" w:hAnsi="Calibri"/>
            <w:color w:val="2E6E9E"/>
            <w:u w:val="single"/>
            <w:sz w:val="17"/>
          </w:rPr>
          <w:t>City National Bank - Film Production</w:t>
        </w:r>
      </w:hyperlink>
    </w:p>
    <w:p>
      <w:pPr>
        <w:keepLines w:val="0"/>
        <w:spacing w:before="0" w:after="60" w:line="271" w:lineRule="auto"/>
        <w:ind w:left="259"/>
      </w:pPr>
      <w:r>
        <w:rPr>
          <w:rFonts w:ascii="Calibri" w:hAnsi="Calibri"/>
          <w:b/>
          <w:color w:val="173B5E"/>
          <w:sz w:val="17"/>
        </w:rPr>
        <w:t xml:space="preserve">[B2] </w:t>
      </w:r>
      <w:hyperlink r:id="rId12">
        <w:r>
          <w:rPr>
            <w:rFonts w:ascii="Calibri" w:hAnsi="Calibri"/>
            <w:color w:val="2E6E9E"/>
            <w:u w:val="single"/>
            <w:sz w:val="17"/>
          </w:rPr>
          <w:t>Banc of California - Media &amp; Entertainment Banking</w:t>
        </w:r>
      </w:hyperlink>
    </w:p>
    <w:p>
      <w:pPr>
        <w:keepLines w:val="0"/>
        <w:spacing w:before="0" w:after="60" w:line="271" w:lineRule="auto"/>
        <w:ind w:left="259"/>
      </w:pPr>
      <w:r>
        <w:rPr>
          <w:rFonts w:ascii="Calibri" w:hAnsi="Calibri"/>
          <w:b/>
          <w:color w:val="173B5E"/>
          <w:sz w:val="17"/>
        </w:rPr>
        <w:t xml:space="preserve">[B3] </w:t>
      </w:r>
      <w:hyperlink r:id="rId13">
        <w:r>
          <w:rPr>
            <w:rFonts w:ascii="Calibri" w:hAnsi="Calibri"/>
            <w:color w:val="2E6E9E"/>
            <w:u w:val="single"/>
            <w:sz w:val="17"/>
          </w:rPr>
          <w:t>Fifth Third - Technology, Media &amp; Telecom Solutions</w:t>
        </w:r>
      </w:hyperlink>
    </w:p>
    <w:p>
      <w:pPr>
        <w:keepLines w:val="0"/>
        <w:spacing w:before="0" w:after="60" w:line="271" w:lineRule="auto"/>
        <w:ind w:left="259"/>
      </w:pPr>
      <w:r>
        <w:rPr>
          <w:rFonts w:ascii="Calibri" w:hAnsi="Calibri"/>
          <w:b/>
          <w:color w:val="173B5E"/>
          <w:sz w:val="17"/>
        </w:rPr>
        <w:t xml:space="preserve">[B4] </w:t>
      </w:r>
      <w:hyperlink r:id="rId14">
        <w:r>
          <w:rPr>
            <w:rFonts w:ascii="Calibri" w:hAnsi="Calibri"/>
            <w:color w:val="2E6E9E"/>
            <w:u w:val="single"/>
            <w:sz w:val="17"/>
          </w:rPr>
          <w:t>Fifth Third - Completion of Comerica Merger, February 2, 2026</w:t>
        </w:r>
      </w:hyperlink>
    </w:p>
    <w:p>
      <w:pPr>
        <w:keepLines w:val="0"/>
        <w:spacing w:before="0" w:after="60" w:line="271" w:lineRule="auto"/>
        <w:ind w:left="259"/>
      </w:pPr>
      <w:r>
        <w:rPr>
          <w:rFonts w:ascii="Calibri" w:hAnsi="Calibri"/>
          <w:b/>
          <w:color w:val="173B5E"/>
          <w:sz w:val="17"/>
        </w:rPr>
        <w:t xml:space="preserve">[B5] </w:t>
      </w:r>
      <w:hyperlink r:id="rId15">
        <w:r>
          <w:rPr>
            <w:rFonts w:ascii="Calibri" w:hAnsi="Calibri"/>
            <w:color w:val="2E6E9E"/>
            <w:u w:val="single"/>
            <w:sz w:val="17"/>
          </w:rPr>
          <w:t>East West Bank - Entertainment Banking</w:t>
        </w:r>
      </w:hyperlink>
    </w:p>
    <w:p>
      <w:pPr>
        <w:keepLines w:val="0"/>
        <w:spacing w:before="0" w:after="60" w:line="271" w:lineRule="auto"/>
        <w:ind w:left="259"/>
      </w:pPr>
      <w:r>
        <w:rPr>
          <w:rFonts w:ascii="Calibri" w:hAnsi="Calibri"/>
          <w:b/>
          <w:color w:val="173B5E"/>
          <w:sz w:val="17"/>
        </w:rPr>
        <w:t xml:space="preserve">[B6] </w:t>
      </w:r>
      <w:hyperlink r:id="rId16">
        <w:r>
          <w:rPr>
            <w:rFonts w:ascii="Calibri" w:hAnsi="Calibri"/>
            <w:color w:val="2E6E9E"/>
            <w:u w:val="single"/>
            <w:sz w:val="17"/>
          </w:rPr>
          <w:t>First Citizens Bank - Entertainment &amp; Media Financing</w:t>
        </w:r>
      </w:hyperlink>
    </w:p>
    <w:p>
      <w:pPr>
        <w:keepLines w:val="0"/>
        <w:spacing w:before="0" w:after="60" w:line="271" w:lineRule="auto"/>
        <w:ind w:left="259"/>
      </w:pPr>
      <w:r>
        <w:rPr>
          <w:rFonts w:ascii="Calibri" w:hAnsi="Calibri"/>
          <w:b/>
          <w:color w:val="173B5E"/>
          <w:sz w:val="17"/>
        </w:rPr>
        <w:t xml:space="preserve">[B7] </w:t>
      </w:r>
      <w:hyperlink r:id="rId17">
        <w:r>
          <w:rPr>
            <w:rFonts w:ascii="Calibri" w:hAnsi="Calibri"/>
            <w:color w:val="2E6E9E"/>
            <w:u w:val="single"/>
            <w:sz w:val="17"/>
          </w:rPr>
          <w:t>Western Alliance Bank - Entertainment &amp; Media</w:t>
        </w:r>
      </w:hyperlink>
    </w:p>
    <w:p>
      <w:pPr>
        <w:keepLines w:val="0"/>
        <w:spacing w:before="0" w:after="60" w:line="271" w:lineRule="auto"/>
        <w:ind w:left="259"/>
      </w:pPr>
      <w:r>
        <w:rPr>
          <w:rFonts w:ascii="Calibri" w:hAnsi="Calibri"/>
          <w:b/>
          <w:color w:val="173B5E"/>
          <w:sz w:val="17"/>
        </w:rPr>
        <w:t xml:space="preserve">[B8] </w:t>
      </w:r>
      <w:hyperlink r:id="rId18">
        <w:r>
          <w:rPr>
            <w:rFonts w:ascii="Calibri" w:hAnsi="Calibri"/>
            <w:color w:val="2E6E9E"/>
            <w:u w:val="single"/>
            <w:sz w:val="17"/>
          </w:rPr>
          <w:t>J.P. Morgan - Media, Telecom and Entertainment</w:t>
        </w:r>
      </w:hyperlink>
    </w:p>
    <w:p>
      <w:pPr>
        <w:pStyle w:val="Heading2"/>
        <w:keepNext/>
        <w:pageBreakBefore w:val="0"/>
      </w:pPr>
      <w:r>
        <w:rPr>
          <w:rFonts w:ascii="Calibri" w:hAnsi="Calibri"/>
          <w:b/>
          <w:color w:val="173B5E"/>
          <w:sz w:val="27"/>
        </w:rPr>
        <w:t>Specialty and institutional financiers</w:t>
      </w:r>
    </w:p>
    <w:p>
      <w:pPr>
        <w:keepLines w:val="0"/>
        <w:spacing w:before="0" w:after="60" w:line="271" w:lineRule="auto"/>
        <w:ind w:left="259"/>
      </w:pPr>
      <w:r>
        <w:rPr>
          <w:rFonts w:ascii="Calibri" w:hAnsi="Calibri"/>
          <w:b/>
          <w:color w:val="173B5E"/>
          <w:sz w:val="17"/>
        </w:rPr>
        <w:t xml:space="preserve">[F1] </w:t>
      </w:r>
      <w:hyperlink r:id="rId19">
        <w:r>
          <w:rPr>
            <w:rFonts w:ascii="Calibri" w:hAnsi="Calibri"/>
            <w:color w:val="2E6E9E"/>
            <w:u w:val="single"/>
            <w:sz w:val="17"/>
          </w:rPr>
          <w:t>Media Finance Capital - Debt Financing</w:t>
        </w:r>
      </w:hyperlink>
    </w:p>
    <w:p>
      <w:pPr>
        <w:keepLines w:val="0"/>
        <w:spacing w:before="0" w:after="60" w:line="271" w:lineRule="auto"/>
        <w:ind w:left="259"/>
      </w:pPr>
      <w:r>
        <w:rPr>
          <w:rFonts w:ascii="Calibri" w:hAnsi="Calibri"/>
          <w:b/>
          <w:color w:val="173B5E"/>
          <w:sz w:val="17"/>
        </w:rPr>
        <w:t xml:space="preserve">[F2] </w:t>
      </w:r>
      <w:hyperlink r:id="rId20">
        <w:r>
          <w:rPr>
            <w:rFonts w:ascii="Calibri" w:hAnsi="Calibri"/>
            <w:color w:val="2E6E9E"/>
            <w:u w:val="single"/>
            <w:sz w:val="17"/>
          </w:rPr>
          <w:t>Aperture Media Partners - Financing Products</w:t>
        </w:r>
      </w:hyperlink>
    </w:p>
    <w:p>
      <w:pPr>
        <w:keepLines w:val="0"/>
        <w:spacing w:before="0" w:after="60" w:line="271" w:lineRule="auto"/>
        <w:ind w:left="259"/>
      </w:pPr>
      <w:r>
        <w:rPr>
          <w:rFonts w:ascii="Calibri" w:hAnsi="Calibri"/>
          <w:b/>
          <w:color w:val="173B5E"/>
          <w:sz w:val="17"/>
        </w:rPr>
        <w:t xml:space="preserve">[F3] </w:t>
      </w:r>
      <w:hyperlink r:id="rId21">
        <w:r>
          <w:rPr>
            <w:rFonts w:ascii="Calibri" w:hAnsi="Calibri"/>
            <w:color w:val="2E6E9E"/>
            <w:u w:val="single"/>
            <w:sz w:val="17"/>
          </w:rPr>
          <w:t>Forest Road - Investment and Advisory Platform</w:t>
        </w:r>
      </w:hyperlink>
    </w:p>
    <w:p>
      <w:pPr>
        <w:keepLines w:val="0"/>
        <w:spacing w:before="0" w:after="60" w:line="271" w:lineRule="auto"/>
        <w:ind w:left="259"/>
      </w:pPr>
      <w:r>
        <w:rPr>
          <w:rFonts w:ascii="Calibri" w:hAnsi="Calibri"/>
          <w:b/>
          <w:color w:val="173B5E"/>
          <w:sz w:val="17"/>
        </w:rPr>
        <w:t xml:space="preserve">[F4] </w:t>
      </w:r>
      <w:hyperlink r:id="rId22">
        <w:r>
          <w:rPr>
            <w:rFonts w:ascii="Calibri" w:hAnsi="Calibri"/>
            <w:color w:val="2E6E9E"/>
            <w:u w:val="single"/>
            <w:sz w:val="17"/>
          </w:rPr>
          <w:t>TPC - Lending</w:t>
        </w:r>
      </w:hyperlink>
    </w:p>
    <w:p>
      <w:pPr>
        <w:keepLines w:val="0"/>
        <w:spacing w:before="0" w:after="60" w:line="271" w:lineRule="auto"/>
        <w:ind w:left="259"/>
      </w:pPr>
      <w:r>
        <w:rPr>
          <w:rFonts w:ascii="Calibri" w:hAnsi="Calibri"/>
          <w:b/>
          <w:color w:val="173B5E"/>
          <w:sz w:val="17"/>
        </w:rPr>
        <w:t xml:space="preserve">[F5] </w:t>
      </w:r>
      <w:hyperlink r:id="rId23">
        <w:r>
          <w:rPr>
            <w:rFonts w:ascii="Calibri" w:hAnsi="Calibri"/>
            <w:color w:val="2E6E9E"/>
            <w:u w:val="single"/>
            <w:sz w:val="17"/>
          </w:rPr>
          <w:t>BondIt Media Capital - FAQ and Lending Scope</w:t>
        </w:r>
      </w:hyperlink>
    </w:p>
    <w:p>
      <w:pPr>
        <w:keepLines w:val="0"/>
        <w:spacing w:before="0" w:after="60" w:line="271" w:lineRule="auto"/>
        <w:ind w:left="259"/>
      </w:pPr>
      <w:r>
        <w:rPr>
          <w:rFonts w:ascii="Calibri" w:hAnsi="Calibri"/>
          <w:b/>
          <w:color w:val="173B5E"/>
          <w:sz w:val="17"/>
        </w:rPr>
        <w:t xml:space="preserve">[F6] </w:t>
      </w:r>
      <w:hyperlink r:id="rId24">
        <w:r>
          <w:rPr>
            <w:rFonts w:ascii="Calibri" w:hAnsi="Calibri"/>
            <w:color w:val="2E6E9E"/>
            <w:u w:val="single"/>
            <w:sz w:val="17"/>
          </w:rPr>
          <w:t>Head Gear Films - Services</w:t>
        </w:r>
      </w:hyperlink>
    </w:p>
    <w:p>
      <w:pPr>
        <w:keepLines w:val="0"/>
        <w:spacing w:before="0" w:after="60" w:line="271" w:lineRule="auto"/>
        <w:ind w:left="259"/>
      </w:pPr>
      <w:r>
        <w:rPr>
          <w:rFonts w:ascii="Calibri" w:hAnsi="Calibri"/>
          <w:b/>
          <w:color w:val="173B5E"/>
          <w:sz w:val="17"/>
        </w:rPr>
        <w:t xml:space="preserve">[F7] </w:t>
      </w:r>
      <w:hyperlink r:id="rId25">
        <w:r>
          <w:rPr>
            <w:rFonts w:ascii="Calibri" w:hAnsi="Calibri"/>
            <w:color w:val="2E6E9E"/>
            <w:u w:val="single"/>
            <w:sz w:val="17"/>
          </w:rPr>
          <w:t>Ares - Sports, Media and Entertainment Opportunities</w:t>
        </w:r>
      </w:hyperlink>
    </w:p>
    <w:p>
      <w:pPr>
        <w:keepLines w:val="0"/>
        <w:spacing w:before="0" w:after="60" w:line="271" w:lineRule="auto"/>
        <w:ind w:left="259"/>
      </w:pPr>
      <w:r>
        <w:rPr>
          <w:rFonts w:ascii="Calibri" w:hAnsi="Calibri"/>
          <w:b/>
          <w:color w:val="173B5E"/>
          <w:sz w:val="17"/>
        </w:rPr>
        <w:t xml:space="preserve">[F8] </w:t>
      </w:r>
      <w:hyperlink r:id="rId26">
        <w:r>
          <w:rPr>
            <w:rFonts w:ascii="Calibri" w:hAnsi="Calibri"/>
            <w:color w:val="2E6E9E"/>
            <w:u w:val="single"/>
            <w:sz w:val="17"/>
          </w:rPr>
          <w:t>Carlyle - $175 Million Asset-Backed Credit Facility to New Regency</w:t>
        </w:r>
      </w:hyperlink>
    </w:p>
    <w:p>
      <w:pPr>
        <w:keepLines w:val="0"/>
        <w:spacing w:before="0" w:after="60" w:line="271" w:lineRule="auto"/>
        <w:ind w:left="259"/>
      </w:pPr>
      <w:r>
        <w:rPr>
          <w:rFonts w:ascii="Calibri" w:hAnsi="Calibri"/>
          <w:b/>
          <w:color w:val="173B5E"/>
          <w:sz w:val="17"/>
        </w:rPr>
        <w:t xml:space="preserve">[F9] </w:t>
      </w:r>
      <w:hyperlink r:id="rId27">
        <w:r>
          <w:rPr>
            <w:rFonts w:ascii="Calibri" w:hAnsi="Calibri"/>
            <w:color w:val="2E6E9E"/>
            <w:u w:val="single"/>
            <w:sz w:val="17"/>
          </w:rPr>
          <w:t>Domain Capital Group - Media, Entertainment &amp; Technology Strategy</w:t>
        </w:r>
      </w:hyperlink>
    </w:p>
    <w:p>
      <w:pPr>
        <w:pStyle w:val="Heading2"/>
        <w:keepNext/>
        <w:pageBreakBefore w:val="0"/>
      </w:pPr>
      <w:r>
        <w:rPr>
          <w:rFonts w:ascii="Calibri" w:hAnsi="Calibri"/>
          <w:b/>
          <w:color w:val="173B5E"/>
          <w:sz w:val="27"/>
        </w:rPr>
        <w:t>Insurers and insurance markets</w:t>
      </w:r>
    </w:p>
    <w:p>
      <w:pPr>
        <w:keepLines w:val="0"/>
        <w:spacing w:before="0" w:after="60" w:line="271" w:lineRule="auto"/>
        <w:ind w:left="259"/>
      </w:pPr>
      <w:r>
        <w:rPr>
          <w:rFonts w:ascii="Calibri" w:hAnsi="Calibri"/>
          <w:b/>
          <w:color w:val="173B5E"/>
          <w:sz w:val="17"/>
        </w:rPr>
        <w:t xml:space="preserve">[I1] </w:t>
      </w:r>
      <w:hyperlink r:id="rId28">
        <w:r>
          <w:rPr>
            <w:rFonts w:ascii="Calibri" w:hAnsi="Calibri"/>
            <w:color w:val="2E6E9E"/>
            <w:u w:val="single"/>
            <w:sz w:val="17"/>
          </w:rPr>
          <w:t>Lloyd's - ClimateWise Report Explaining the Lloyd's Marketplace</w:t>
        </w:r>
      </w:hyperlink>
    </w:p>
    <w:p>
      <w:pPr>
        <w:keepLines w:val="0"/>
        <w:spacing w:before="0" w:after="60" w:line="271" w:lineRule="auto"/>
        <w:ind w:left="259"/>
      </w:pPr>
      <w:r>
        <w:rPr>
          <w:rFonts w:ascii="Calibri" w:hAnsi="Calibri"/>
          <w:b/>
          <w:color w:val="173B5E"/>
          <w:sz w:val="17"/>
        </w:rPr>
        <w:t xml:space="preserve">[I2] </w:t>
      </w:r>
      <w:hyperlink r:id="rId29">
        <w:r>
          <w:rPr>
            <w:rFonts w:ascii="Calibri" w:hAnsi="Calibri"/>
            <w:color w:val="2E6E9E"/>
            <w:u w:val="single"/>
            <w:sz w:val="17"/>
          </w:rPr>
          <w:t>Lloyd's / Markel Syndicate 3000 - Film and Media Insurance Book</w:t>
        </w:r>
      </w:hyperlink>
    </w:p>
    <w:p>
      <w:pPr>
        <w:keepLines w:val="0"/>
        <w:spacing w:before="0" w:after="60" w:line="271" w:lineRule="auto"/>
        <w:ind w:left="259"/>
      </w:pPr>
      <w:r>
        <w:rPr>
          <w:rFonts w:ascii="Calibri" w:hAnsi="Calibri"/>
          <w:b/>
          <w:color w:val="173B5E"/>
          <w:sz w:val="17"/>
        </w:rPr>
        <w:t xml:space="preserve">[I3] </w:t>
      </w:r>
      <w:hyperlink r:id="rId30">
        <w:r>
          <w:rPr>
            <w:rFonts w:ascii="Calibri" w:hAnsi="Calibri"/>
            <w:color w:val="2E6E9E"/>
            <w:u w:val="single"/>
            <w:sz w:val="17"/>
          </w:rPr>
          <w:t>Allianz Commercial - Entertainment Insurance</w:t>
        </w:r>
      </w:hyperlink>
    </w:p>
    <w:p>
      <w:pPr>
        <w:keepLines w:val="0"/>
        <w:spacing w:before="0" w:after="60" w:line="271" w:lineRule="auto"/>
        <w:ind w:left="259"/>
      </w:pPr>
      <w:r>
        <w:rPr>
          <w:rFonts w:ascii="Calibri" w:hAnsi="Calibri"/>
          <w:b/>
          <w:color w:val="173B5E"/>
          <w:sz w:val="17"/>
        </w:rPr>
        <w:t xml:space="preserve">[I4] </w:t>
      </w:r>
      <w:hyperlink r:id="rId31">
        <w:r>
          <w:rPr>
            <w:rFonts w:ascii="Calibri" w:hAnsi="Calibri"/>
            <w:color w:val="2E6E9E"/>
            <w:u w:val="single"/>
            <w:sz w:val="17"/>
          </w:rPr>
          <w:t>Allianz - Sale of U.S. MidCorp and Entertainment Business to Arch</w:t>
        </w:r>
      </w:hyperlink>
    </w:p>
    <w:p>
      <w:pPr>
        <w:keepLines w:val="0"/>
        <w:spacing w:before="0" w:after="60" w:line="271" w:lineRule="auto"/>
        <w:ind w:left="259"/>
      </w:pPr>
      <w:r>
        <w:rPr>
          <w:rFonts w:ascii="Calibri" w:hAnsi="Calibri"/>
          <w:b/>
          <w:color w:val="173B5E"/>
          <w:sz w:val="17"/>
        </w:rPr>
        <w:t xml:space="preserve">[I5] </w:t>
      </w:r>
      <w:hyperlink r:id="rId32">
        <w:r>
          <w:rPr>
            <w:rFonts w:ascii="Calibri" w:hAnsi="Calibri"/>
            <w:color w:val="2E6E9E"/>
            <w:u w:val="single"/>
            <w:sz w:val="17"/>
          </w:rPr>
          <w:t>Arch - Production Entertainment Insurance</w:t>
        </w:r>
      </w:hyperlink>
    </w:p>
    <w:p>
      <w:pPr>
        <w:keepLines w:val="0"/>
        <w:spacing w:before="0" w:after="60" w:line="271" w:lineRule="auto"/>
        <w:ind w:left="259"/>
      </w:pPr>
      <w:r>
        <w:rPr>
          <w:rFonts w:ascii="Calibri" w:hAnsi="Calibri"/>
          <w:b/>
          <w:color w:val="173B5E"/>
          <w:sz w:val="17"/>
        </w:rPr>
        <w:t xml:space="preserve">[I6] </w:t>
      </w:r>
      <w:hyperlink r:id="rId33">
        <w:r>
          <w:rPr>
            <w:rFonts w:ascii="Calibri" w:hAnsi="Calibri"/>
            <w:color w:val="2E6E9E"/>
            <w:u w:val="single"/>
            <w:sz w:val="17"/>
          </w:rPr>
          <w:t>AXA XL - Media &amp; Entertainment Insurance</w:t>
        </w:r>
      </w:hyperlink>
    </w:p>
    <w:p>
      <w:pPr>
        <w:keepLines w:val="0"/>
        <w:spacing w:before="0" w:after="60" w:line="271" w:lineRule="auto"/>
        <w:ind w:left="259"/>
      </w:pPr>
      <w:r>
        <w:rPr>
          <w:rFonts w:ascii="Calibri" w:hAnsi="Calibri"/>
          <w:b/>
          <w:color w:val="173B5E"/>
          <w:sz w:val="17"/>
        </w:rPr>
        <w:t xml:space="preserve">[I7] </w:t>
      </w:r>
      <w:hyperlink r:id="rId34">
        <w:r>
          <w:rPr>
            <w:rFonts w:ascii="Calibri" w:hAnsi="Calibri"/>
            <w:color w:val="2E6E9E"/>
            <w:u w:val="single"/>
            <w:sz w:val="17"/>
          </w:rPr>
          <w:t>Chubb - Film Production Insurance</w:t>
        </w:r>
      </w:hyperlink>
    </w:p>
    <w:p>
      <w:pPr>
        <w:keepLines w:val="0"/>
        <w:spacing w:before="0" w:after="60" w:line="271" w:lineRule="auto"/>
        <w:ind w:left="259"/>
      </w:pPr>
      <w:r>
        <w:rPr>
          <w:rFonts w:ascii="Calibri" w:hAnsi="Calibri"/>
          <w:b/>
          <w:color w:val="173B5E"/>
          <w:sz w:val="17"/>
        </w:rPr>
        <w:t xml:space="preserve">[I8] </w:t>
      </w:r>
      <w:hyperlink r:id="rId35">
        <w:r>
          <w:rPr>
            <w:rFonts w:ascii="Calibri" w:hAnsi="Calibri"/>
            <w:color w:val="2E6E9E"/>
            <w:u w:val="single"/>
            <w:sz w:val="17"/>
          </w:rPr>
          <w:t>Intact Specialty - Entertainment Insurance</w:t>
        </w:r>
      </w:hyperlink>
    </w:p>
    <w:p>
      <w:pPr>
        <w:keepLines w:val="0"/>
        <w:spacing w:before="0" w:after="60" w:line="271" w:lineRule="auto"/>
        <w:ind w:left="259"/>
      </w:pPr>
      <w:r>
        <w:rPr>
          <w:rFonts w:ascii="Calibri" w:hAnsi="Calibri"/>
          <w:b/>
          <w:color w:val="173B5E"/>
          <w:sz w:val="17"/>
        </w:rPr>
        <w:t xml:space="preserve">[I9] </w:t>
      </w:r>
      <w:hyperlink r:id="rId37">
        <w:r>
          <w:rPr>
            <w:rFonts w:ascii="Calibri" w:hAnsi="Calibri"/>
            <w:color w:val="2E6E9E"/>
            <w:u w:val="single"/>
            <w:sz w:val="17"/>
          </w:rPr>
          <w:t>Munich Re - Special Risks / Contingency</w:t>
        </w:r>
      </w:hyperlink>
    </w:p>
    <w:p>
      <w:pPr>
        <w:pStyle w:val="Heading2"/>
        <w:keepNext/>
        <w:pageBreakBefore w:val="0"/>
      </w:pPr>
      <w:r>
        <w:rPr>
          <w:rFonts w:ascii="Calibri" w:hAnsi="Calibri"/>
          <w:b/>
          <w:color w:val="173B5E"/>
          <w:sz w:val="27"/>
        </w:rPr>
        <w:t>Completion guarantors</w:t>
      </w:r>
    </w:p>
    <w:p>
      <w:pPr>
        <w:keepLines w:val="0"/>
        <w:spacing w:before="0" w:after="60" w:line="271" w:lineRule="auto"/>
        <w:ind w:left="259"/>
      </w:pPr>
      <w:r>
        <w:rPr>
          <w:rFonts w:ascii="Calibri" w:hAnsi="Calibri"/>
          <w:b/>
          <w:color w:val="173B5E"/>
          <w:sz w:val="17"/>
        </w:rPr>
        <w:t xml:space="preserve">[C1] </w:t>
      </w:r>
      <w:hyperlink r:id="rId36">
        <w:r>
          <w:rPr>
            <w:rFonts w:ascii="Calibri" w:hAnsi="Calibri"/>
            <w:color w:val="2E6E9E"/>
            <w:u w:val="single"/>
            <w:sz w:val="17"/>
          </w:rPr>
          <w:t>UniFi Completion Guarantors - Who We Are and Carrier Structure</w:t>
        </w:r>
      </w:hyperlink>
    </w:p>
    <w:p>
      <w:pPr>
        <w:keepLines w:val="0"/>
        <w:spacing w:before="0" w:after="60" w:line="271" w:lineRule="auto"/>
        <w:ind w:left="259"/>
      </w:pPr>
      <w:r>
        <w:rPr>
          <w:rFonts w:ascii="Calibri" w:hAnsi="Calibri"/>
          <w:b/>
          <w:color w:val="173B5E"/>
          <w:sz w:val="17"/>
        </w:rPr>
        <w:t xml:space="preserve">[C2] </w:t>
      </w:r>
      <w:hyperlink r:id="rId39">
        <w:r>
          <w:rPr>
            <w:rFonts w:ascii="Calibri" w:hAnsi="Calibri"/>
            <w:color w:val="2E6E9E"/>
            <w:u w:val="single"/>
            <w:sz w:val="17"/>
          </w:rPr>
          <w:t>Film Finances International - About FFI</w:t>
        </w:r>
      </w:hyperlink>
    </w:p>
    <w:p>
      <w:pPr>
        <w:keepLines w:val="0"/>
        <w:spacing w:before="0" w:after="60" w:line="271" w:lineRule="auto"/>
        <w:ind w:left="259"/>
      </w:pPr>
      <w:r>
        <w:rPr>
          <w:rFonts w:ascii="Calibri" w:hAnsi="Calibri"/>
          <w:b/>
          <w:color w:val="173B5E"/>
          <w:sz w:val="17"/>
        </w:rPr>
        <w:t xml:space="preserve">[C3] </w:t>
      </w:r>
      <w:hyperlink r:id="rId40">
        <w:r>
          <w:rPr>
            <w:rFonts w:ascii="Calibri" w:hAnsi="Calibri"/>
            <w:color w:val="2E6E9E"/>
            <w:u w:val="single"/>
            <w:sz w:val="17"/>
          </w:rPr>
          <w:t>Media Guarantors / CAC Group - Entertainment Practice</w:t>
        </w:r>
      </w:hyperlink>
    </w:p>
    <w:p>
      <w:pPr>
        <w:keepLines w:val="0"/>
        <w:spacing w:before="0" w:after="60" w:line="271" w:lineRule="auto"/>
        <w:ind w:left="259"/>
      </w:pPr>
      <w:r>
        <w:rPr>
          <w:rFonts w:ascii="Calibri" w:hAnsi="Calibri"/>
          <w:b/>
          <w:color w:val="173B5E"/>
          <w:sz w:val="17"/>
        </w:rPr>
        <w:t xml:space="preserve">[C4] </w:t>
      </w:r>
      <w:hyperlink r:id="rId41">
        <w:r>
          <w:rPr>
            <w:rFonts w:ascii="Calibri" w:hAnsi="Calibri"/>
            <w:color w:val="2E6E9E"/>
            <w:u w:val="single"/>
            <w:sz w:val="17"/>
          </w:rPr>
          <w:t>Deadline - Film Finances and Media Guarantors Combination, July 21, 2026</w:t>
        </w:r>
      </w:hyperlink>
    </w:p>
    <w:p>
      <w:pPr>
        <w:keepLines w:val="0"/>
        <w:spacing w:before="0" w:after="60" w:line="271" w:lineRule="auto"/>
        <w:ind w:left="259"/>
      </w:pPr>
      <w:r>
        <w:rPr>
          <w:rFonts w:ascii="Calibri" w:hAnsi="Calibri"/>
          <w:b/>
          <w:color w:val="173B5E"/>
          <w:sz w:val="17"/>
        </w:rPr>
        <w:t xml:space="preserve">[C5] </w:t>
      </w:r>
      <w:hyperlink r:id="rId42">
        <w:r>
          <w:rPr>
            <w:rFonts w:ascii="Calibri" w:hAnsi="Calibri"/>
            <w:color w:val="2E6E9E"/>
            <w:u w:val="single"/>
            <w:sz w:val="17"/>
          </w:rPr>
          <w:t>Paterson James - Completion Guarantee</w:t>
        </w:r>
      </w:hyperlink>
    </w:p>
    <w:p>
      <w:pPr>
        <w:keepLines w:val="0"/>
        <w:spacing w:before="0" w:after="60" w:line="271" w:lineRule="auto"/>
        <w:ind w:left="259"/>
      </w:pPr>
      <w:r>
        <w:rPr>
          <w:rFonts w:ascii="Calibri" w:hAnsi="Calibri"/>
          <w:b/>
          <w:color w:val="173B5E"/>
          <w:sz w:val="17"/>
        </w:rPr>
        <w:t xml:space="preserve">[C6] </w:t>
      </w:r>
      <w:hyperlink r:id="rId43">
        <w:r>
          <w:rPr>
            <w:rFonts w:ascii="Calibri" w:hAnsi="Calibri"/>
            <w:color w:val="2E6E9E"/>
            <w:u w:val="single"/>
            <w:sz w:val="17"/>
          </w:rPr>
          <w:t>Guaranteed Completions - Public Product Site</w:t>
        </w:r>
      </w:hyperlink>
    </w:p>
    <w:p>
      <w:pPr>
        <w:keepLines w:val="0"/>
        <w:spacing w:before="0" w:after="60" w:line="271" w:lineRule="auto"/>
        <w:ind w:left="259"/>
      </w:pPr>
      <w:r>
        <w:rPr>
          <w:rFonts w:ascii="Calibri" w:hAnsi="Calibri"/>
          <w:b/>
          <w:color w:val="173B5E"/>
          <w:sz w:val="17"/>
        </w:rPr>
        <w:t xml:space="preserve">[C7] </w:t>
      </w:r>
      <w:hyperlink r:id="rId38">
        <w:r>
          <w:rPr>
            <w:rFonts w:ascii="Calibri" w:hAnsi="Calibri"/>
            <w:color w:val="2E6E9E"/>
            <w:u w:val="single"/>
            <w:sz w:val="17"/>
          </w:rPr>
          <w:t>Intectus - Completion Bond and Munich Re Structure</w:t>
        </w:r>
      </w:hyperlink>
    </w:p>
    <w:p>
      <w:pPr>
        <w:keepLines w:val="0"/>
        <w:spacing w:before="0" w:after="60" w:line="271" w:lineRule="auto"/>
        <w:ind w:left="259"/>
      </w:pPr>
      <w:r>
        <w:rPr>
          <w:rFonts w:ascii="Calibri" w:hAnsi="Calibri"/>
          <w:b/>
          <w:color w:val="173B5E"/>
          <w:sz w:val="17"/>
        </w:rPr>
        <w:t xml:space="preserve">[C8] </w:t>
      </w:r>
      <w:hyperlink r:id="rId44">
        <w:r>
          <w:rPr>
            <w:rFonts w:ascii="Calibri" w:hAnsi="Calibri"/>
            <w:color w:val="2E6E9E"/>
            <w:u w:val="single"/>
            <w:sz w:val="17"/>
          </w:rPr>
          <w:t>Intectus - About the Risk-Management Platform</w:t>
        </w:r>
      </w:hyperlink>
    </w:p>
    <w:sectPr w:rsidR="00FC693F" w:rsidRPr="0006063C" w:rsidSect="00034616">
      <w:headerReference w:type="default" r:id="rId9"/>
      <w:footerReference w:type="default" r:id="rId10"/>
      <w:pgSz w:w="12240" w:h="15840"/>
      <w:pgMar w:top="1037" w:right="1224" w:bottom="1008"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color w:val="6A7785"/>
        <w:sz w:val="17"/>
      </w:rPr>
      <w:t xml:space="preserve">Media Finance Capital &amp; Risk Landscape  |  Page </w:t>
    </w:r>
    <w:r>
      <w:rPr>
        <w:rFonts w:ascii="Calibri" w:hAnsi="Calibri"/>
        <w:color w:val="6A7785"/>
        <w:sz w:val="17"/>
      </w:rPr>
      <w:fldChar w:fldCharType="begin"/>
      <w:instrText xml:space="preserve">PAGE</w:instrText>
      <w:fldChar w:fldCharType="separate"/>
      <w:t>1</w:t>
      <w:fldChar w:fldCharType="end"/>
    </w:r>
    <w:r>
      <w:rPr>
        <w:rFonts w:ascii="Calibri" w:hAnsi="Calibri"/>
        <w:color w:val="6A7785"/>
        <w:sz w:val="17"/>
      </w:rPr>
      <w:t xml:space="preserve"> of </w:t>
    </w:r>
    <w:r>
      <w:rPr>
        <w:rFonts w:ascii="Calibri" w:hAnsi="Calibri"/>
        <w:color w:val="6A7785"/>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6A7785"/>
        <w:sz w:val="17"/>
      </w:rPr>
      <w:t>MEDIAHEDGE  |  FINANCIER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libri" w:hAnsi="Calibri"/>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libri" w:hAnsi="Calibri"/>
      <w:b/>
      <w:bCs/>
      <w:color w:val="173B5E"/>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73B5E"/>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2E6E9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nb.com/industries-we-serve/entertainment/film-production.html" TargetMode="External"/><Relationship Id="rId12" Type="http://schemas.openxmlformats.org/officeDocument/2006/relationships/hyperlink" Target="https://bancofcal.com/industries/media-and-entertainment-banking/" TargetMode="External"/><Relationship Id="rId13" Type="http://schemas.openxmlformats.org/officeDocument/2006/relationships/hyperlink" Target="https://www.53.com/content/fifth-third/en/commercial-banking/industries/TMT-solutions.html" TargetMode="External"/><Relationship Id="rId14" Type="http://schemas.openxmlformats.org/officeDocument/2006/relationships/hyperlink" Target="https://ir.53.com/news/news-details/2026/Fifth-Third-Completes-Merger-with-Comerica-to-Become-9th-Largest-U-S--Bank/default.aspx" TargetMode="External"/><Relationship Id="rId15" Type="http://schemas.openxmlformats.org/officeDocument/2006/relationships/hyperlink" Target="https://www.eastwestbank.com/en/commercial-banking/entertainment" TargetMode="External"/><Relationship Id="rId16" Type="http://schemas.openxmlformats.org/officeDocument/2006/relationships/hyperlink" Target="https://www.firstcitizens.com/commercial/expertise/entertainment-media" TargetMode="External"/><Relationship Id="rId17" Type="http://schemas.openxmlformats.org/officeDocument/2006/relationships/hyperlink" Target="https://www.westernalliancebancorporation.com/expertise/entertainment-media" TargetMode="External"/><Relationship Id="rId18" Type="http://schemas.openxmlformats.org/officeDocument/2006/relationships/hyperlink" Target="https://www.jpmorgan.com/industries-we-serve/media-telecom-entertainment" TargetMode="External"/><Relationship Id="rId19" Type="http://schemas.openxmlformats.org/officeDocument/2006/relationships/hyperlink" Target="https://www.mediafinancecapital.com/debt-financing/" TargetMode="External"/><Relationship Id="rId20" Type="http://schemas.openxmlformats.org/officeDocument/2006/relationships/hyperlink" Target="https://www.aperturemediapartners.com/" TargetMode="External"/><Relationship Id="rId21" Type="http://schemas.openxmlformats.org/officeDocument/2006/relationships/hyperlink" Target="https://forestroad.com/" TargetMode="External"/><Relationship Id="rId22" Type="http://schemas.openxmlformats.org/officeDocument/2006/relationships/hyperlink" Target="https://tpc.us/lending/" TargetMode="External"/><Relationship Id="rId23" Type="http://schemas.openxmlformats.org/officeDocument/2006/relationships/hyperlink" Target="https://bondit.us/faq/" TargetMode="External"/><Relationship Id="rId24" Type="http://schemas.openxmlformats.org/officeDocument/2006/relationships/hyperlink" Target="https://www.headgearfilms.com/services/" TargetMode="External"/><Relationship Id="rId25" Type="http://schemas.openxmlformats.org/officeDocument/2006/relationships/hyperlink" Target="https://www.ares.com/us/our-strategies/ares-sports-media-and-entertainment-opportunities" TargetMode="External"/><Relationship Id="rId26" Type="http://schemas.openxmlformats.org/officeDocument/2006/relationships/hyperlink" Target="https://www.carlyle.com/media-room/news-release-archive/carlyle-provides-175-million-asset-backed-credit-facility-to-new-regency" TargetMode="External"/><Relationship Id="rId27" Type="http://schemas.openxmlformats.org/officeDocument/2006/relationships/hyperlink" Target="https://www.domaincapitalgroup.com/about-us" TargetMode="External"/><Relationship Id="rId28" Type="http://schemas.openxmlformats.org/officeDocument/2006/relationships/hyperlink" Target="https://assets.lloyds.com/media/1040d390-1d99-4fb2-a55d-f7562be2a7ee/Lloyd%27s_ClimateWise_Report_2020_2021.pdf" TargetMode="External"/><Relationship Id="rId29" Type="http://schemas.openxmlformats.org/officeDocument/2006/relationships/hyperlink" Target="https://assets.lloyds.com/media/5b02701e-8066-477c-ba4b-cf5ca11d6808/3000%20Markel%20Syndicate%20-%203000%20-%20Q4%202024%20Syndicate%20Accounts%20Submission%20%28Mar%206%2C%202025%29-ixbrl-r2.html" TargetMode="External"/><Relationship Id="rId30" Type="http://schemas.openxmlformats.org/officeDocument/2006/relationships/hyperlink" Target="https://commercial.allianz.com/solutions/entertainment-insurance.html" TargetMode="External"/><Relationship Id="rId31" Type="http://schemas.openxmlformats.org/officeDocument/2006/relationships/hyperlink" Target="https://commercial.allianz.com/news-and-insights/news/allianz-completes-sale-US-midcorp-entertainment.html" TargetMode="External"/><Relationship Id="rId32" Type="http://schemas.openxmlformats.org/officeDocument/2006/relationships/hyperlink" Target="https://www.archgroup.com/offering/entertainment/production/" TargetMode="External"/><Relationship Id="rId33" Type="http://schemas.openxmlformats.org/officeDocument/2006/relationships/hyperlink" Target="https://axaxl.com/insurance/products/media-and-entertainment-insurance" TargetMode="External"/><Relationship Id="rId34" Type="http://schemas.openxmlformats.org/officeDocument/2006/relationships/hyperlink" Target="https://www.chubb.com/us-en/business-insurance/film-producers.html" TargetMode="External"/><Relationship Id="rId35" Type="http://schemas.openxmlformats.org/officeDocument/2006/relationships/hyperlink" Target="https://www.intactspecialty.com/intactspecialty/industries/entertainment" TargetMode="External"/><Relationship Id="rId36" Type="http://schemas.openxmlformats.org/officeDocument/2006/relationships/hyperlink" Target="https://www.unifibonds.com/who-we-are/" TargetMode="External"/><Relationship Id="rId37" Type="http://schemas.openxmlformats.org/officeDocument/2006/relationships/hyperlink" Target="https://www.munichre.com/specialty/global-markets-syndicate/en/products/contingency.html" TargetMode="External"/><Relationship Id="rId38" Type="http://schemas.openxmlformats.org/officeDocument/2006/relationships/hyperlink" Target="https://www.intectus.de/completion-bond/" TargetMode="External"/><Relationship Id="rId39" Type="http://schemas.openxmlformats.org/officeDocument/2006/relationships/hyperlink" Target="https://www.filmfinances.com/about" TargetMode="External"/><Relationship Id="rId40" Type="http://schemas.openxmlformats.org/officeDocument/2006/relationships/hyperlink" Target="https://cacgroup.com/industries/entertainment/" TargetMode="External"/><Relationship Id="rId41" Type="http://schemas.openxmlformats.org/officeDocument/2006/relationships/hyperlink" Target="https://deadline.com/2026/07/film-finances-media-guarantors-merger-completion-bonds-1236998898/" TargetMode="External"/><Relationship Id="rId42" Type="http://schemas.openxmlformats.org/officeDocument/2006/relationships/hyperlink" Target="https://www.patersonjames.com/services/completion-guarantee/" TargetMode="External"/><Relationship Id="rId43" Type="http://schemas.openxmlformats.org/officeDocument/2006/relationships/hyperlink" Target="https://www.guaranteed-completions.com/" TargetMode="External"/><Relationship Id="rId44" Type="http://schemas.openxmlformats.org/officeDocument/2006/relationships/hyperlink" Target="https://www.intectus.de/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Media Finance Capital &amp; Risk Landscape</dc:title>
  <dc:subject>A source-linked comparison of banks, specialty financiers, insurers and completion guarantors active in film and television finance</dc:subject>
  <dc:creator>MediaHedge</dc:creator>
  <cp:keywords>MediaHedge, media finance, film finance, television finance, banks, private credit, insurance, completion bonds, completion guarantors, financier brief</cp:keywords>
  <dc:description>Expanded public-source edition. No proprietary MediaHedge company information used.</dc:description>
  <cp:lastModifiedBy/>
  <cp:revision>1</cp:revision>
  <dcterms:created xsi:type="dcterms:W3CDTF">2013-12-23T23:15:00Z</dcterms:created>
  <dcterms:modified xsi:type="dcterms:W3CDTF">2013-12-23T23:15:00Z</dcterms:modified>
  <cp:category/>
</cp:coreProperties>
</file>