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COLLECTION CONTROL, EXPLAINED</w:t>
      </w:r>
    </w:p>
    <w:p>
      <w:pPr>
        <w:spacing w:after="40"/>
      </w:pPr>
      <w:r>
        <w:rPr>
          <w:rFonts w:ascii="Calibri" w:hAnsi="Calibri" w:eastAsia="Calibri"/>
          <w:b/>
          <w:color w:val="17324D"/>
          <w:sz w:val="47"/>
        </w:rPr>
        <w:t>CAMA, Account Control and Collection Waterfalls</w:t>
      </w:r>
    </w:p>
    <w:p>
      <w:pPr>
        <w:spacing w:after="160"/>
      </w:pPr>
      <w:r>
        <w:rPr>
          <w:rFonts w:ascii="Calibri" w:hAnsi="Calibri" w:eastAsia="Calibri"/>
          <w:i/>
          <w:color w:val="65727E"/>
          <w:sz w:val="23"/>
        </w:rPr>
        <w:t>How film-finance cash is captured, prioritized and reported from source to repayment</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Collateral value protects a financier only if proceeds can be identified and captured. A collection account management agreement, deposit-account control arrangement and contractual waterfall perform related but distinct functions. The CAMA appoints an independent collection account manager and allocates receipts; Article 9 control addresses perfection in a deposit account; the waterfall determines payment priority. A robust structure aligns all three.</w:t>
      </w:r>
    </w:p>
    <w:p>
      <w:pPr>
        <w:pStyle w:val="Heading1"/>
        <w:spacing w:before="100" w:after="60"/>
      </w:pPr>
      <w:r>
        <w:rPr>
          <w:rFonts w:ascii="Calibri" w:hAnsi="Calibri" w:eastAsia="Calibri"/>
          <w:b/>
          <w:color w:val="17324D"/>
          <w:sz w:val="30"/>
        </w:rPr>
        <w:t>Why cash control is central to film finance</w:t>
      </w:r>
    </w:p>
    <w:p>
      <w:pPr>
        <w:spacing w:after="80"/>
      </w:pPr>
      <w:r>
        <w:rPr>
          <w:rFonts w:ascii="Calibri" w:hAnsi="Calibri" w:eastAsia="Calibri"/>
          <w:i w:val="0"/>
          <w:color w:val="17202A"/>
          <w:sz w:val="20"/>
        </w:rPr>
        <w:t>Receipts may arrive from many distributors, territories, platforms, tax programs, insurers and other counterparties over different dates and currencies. Producers, sales agents, guilds, participants and lenders may all assert payment rights. Without direct payment instructions and a controlled collection architecture, even valid collateral can be diverted, commingled, netted or delayed. The financier therefore underwrites both the payment obligation and the path each dollar must follow after the obligor pays.</w:t>
      </w:r>
    </w:p>
    <w:p>
      <w:pPr>
        <w:pStyle w:val="Heading1"/>
        <w:spacing w:before="100" w:after="60"/>
      </w:pPr>
      <w:r>
        <w:rPr>
          <w:rFonts w:ascii="Calibri" w:hAnsi="Calibri" w:eastAsia="Calibri"/>
          <w:b/>
          <w:color w:val="17324D"/>
          <w:sz w:val="30"/>
        </w:rPr>
        <w:t>The five-part collection architecture</w:t>
      </w:r>
    </w:p>
    <w:p>
      <w:pPr>
        <w:pStyle w:val="ListNumber"/>
        <w:spacing w:after="60"/>
        <w:ind w:left="691" w:hanging="331"/>
      </w:pPr>
      <w:r>
        <w:rPr>
          <w:rFonts w:ascii="Calibri" w:hAnsi="Calibri" w:eastAsia="Calibri"/>
          <w:b/>
          <w:color w:val="17324D"/>
          <w:sz w:val="19"/>
        </w:rPr>
        <w:t xml:space="preserve">Payment-source mapping. </w:t>
      </w:r>
      <w:r>
        <w:rPr>
          <w:rFonts w:ascii="Calibri" w:hAnsi="Calibri" w:eastAsia="Calibri"/>
          <w:color w:val="17202A"/>
          <w:sz w:val="19"/>
        </w:rPr>
        <w:t>Every obligor, contract, territory, currency and expected date is linked to an approved collection destination.</w:t>
      </w:r>
    </w:p>
    <w:p>
      <w:pPr>
        <w:pStyle w:val="ListNumber"/>
        <w:spacing w:after="60"/>
        <w:ind w:left="691" w:hanging="331"/>
      </w:pPr>
      <w:r>
        <w:rPr>
          <w:rFonts w:ascii="Calibri" w:hAnsi="Calibri" w:eastAsia="Calibri"/>
          <w:b/>
          <w:color w:val="17324D"/>
          <w:sz w:val="19"/>
        </w:rPr>
        <w:t xml:space="preserve">Acknowledged directions. </w:t>
      </w:r>
      <w:r>
        <w:rPr>
          <w:rFonts w:ascii="Calibri" w:hAnsi="Calibri" w:eastAsia="Calibri"/>
          <w:color w:val="17202A"/>
          <w:sz w:val="19"/>
        </w:rPr>
        <w:t>Notices of assignment instruct counterparties to pay the designated account and restrict unilateral changes.</w:t>
      </w:r>
    </w:p>
    <w:p>
      <w:pPr>
        <w:pStyle w:val="ListNumber"/>
        <w:spacing w:after="60"/>
        <w:ind w:left="691" w:hanging="331"/>
      </w:pPr>
      <w:r>
        <w:rPr>
          <w:rFonts w:ascii="Calibri" w:hAnsi="Calibri" w:eastAsia="Calibri"/>
          <w:b/>
          <w:color w:val="17324D"/>
          <w:sz w:val="19"/>
        </w:rPr>
        <w:t xml:space="preserve">Independent administration. </w:t>
      </w:r>
      <w:r>
        <w:rPr>
          <w:rFonts w:ascii="Calibri" w:hAnsi="Calibri" w:eastAsia="Calibri"/>
          <w:color w:val="17202A"/>
          <w:sz w:val="19"/>
        </w:rPr>
        <w:t>The CAMA defines the collection account manager, statements, permitted deductions and distribution mechanics.</w:t>
      </w:r>
    </w:p>
    <w:p>
      <w:pPr>
        <w:pStyle w:val="ListNumber"/>
        <w:spacing w:after="60"/>
        <w:ind w:left="691" w:hanging="331"/>
      </w:pPr>
      <w:r>
        <w:rPr>
          <w:rFonts w:ascii="Calibri" w:hAnsi="Calibri" w:eastAsia="Calibri"/>
          <w:b/>
          <w:color w:val="17324D"/>
          <w:sz w:val="19"/>
        </w:rPr>
        <w:t xml:space="preserve">Account control and perfection. </w:t>
      </w:r>
      <w:r>
        <w:rPr>
          <w:rFonts w:ascii="Calibri" w:hAnsi="Calibri" w:eastAsia="Calibri"/>
          <w:color w:val="17202A"/>
          <w:sz w:val="19"/>
        </w:rPr>
        <w:t>A qualifying control agreement establishes the secured party relationship with the depositary bank.</w:t>
      </w:r>
    </w:p>
    <w:p>
      <w:pPr>
        <w:pStyle w:val="ListNumber"/>
        <w:spacing w:after="60"/>
        <w:ind w:left="691" w:hanging="331"/>
      </w:pPr>
      <w:r>
        <w:rPr>
          <w:rFonts w:ascii="Calibri" w:hAnsi="Calibri" w:eastAsia="Calibri"/>
          <w:b/>
          <w:color w:val="17324D"/>
          <w:sz w:val="19"/>
        </w:rPr>
        <w:t xml:space="preserve">Priority waterfall. </w:t>
      </w:r>
      <w:r>
        <w:rPr>
          <w:rFonts w:ascii="Calibri" w:hAnsi="Calibri" w:eastAsia="Calibri"/>
          <w:color w:val="17202A"/>
          <w:sz w:val="19"/>
        </w:rPr>
        <w:t>The documents sequence taxes and approved costs, senior principal, interest, fees and subordinate distributions.</w:t>
      </w:r>
    </w:p>
    <w:p>
      <w:pPr>
        <w:pStyle w:val="Heading1"/>
        <w:spacing w:before="100" w:after="60"/>
      </w:pPr>
      <w:r>
        <w:rPr>
          <w:rFonts w:ascii="Calibri" w:hAnsi="Calibri" w:eastAsia="Calibri"/>
          <w:b/>
          <w:color w:val="17324D"/>
          <w:sz w:val="30"/>
        </w:rPr>
        <w:t>How collections become loan repayment</w:t>
      </w:r>
    </w:p>
    <w:p>
      <w:pPr>
        <w:spacing w:after="80"/>
      </w:pPr>
      <w:r>
        <w:rPr>
          <w:rFonts w:ascii="Calibri" w:hAnsi="Calibri" w:eastAsia="Calibri"/>
          <w:i w:val="0"/>
          <w:color w:val="17202A"/>
          <w:sz w:val="20"/>
        </w:rPr>
        <w:t>Before closing, MediaHedge builds a source-to-account matrix and reconciles it to assignments and loan economics. Obligors receive payment instructions, the collection account manager and bank accept defined duties, and the waterfall specifies eligible deductions and distribution dates. Statements are matched to contract-level receivables and the loan subledger. During stress, blocked-account mechanics, reserve rights and suspension of junior payments should preserve senior cash. Reconciliation must distinguish invoiced, received, cleared, allocated and distributed amounts.</w:t>
      </w:r>
    </w:p>
    <w:p>
      <w:pPr>
        <w:pStyle w:val="Heading1"/>
        <w:spacing w:before="0" w:after="80"/>
      </w:pPr>
      <w:r>
        <w:rPr>
          <w:rFonts w:ascii="Calibri" w:hAnsi="Calibri" w:eastAsia="Calibri"/>
          <w:b/>
          <w:color w:val="17324D"/>
          <w:sz w:val="30"/>
        </w:rPr>
        <w:t>Where MediaHedge and the financing partner sit</w:t>
      </w:r>
    </w:p>
    <w:p>
      <w:pPr>
        <w:spacing w:after="80"/>
      </w:pPr>
      <w:r>
        <w:rPr>
          <w:rFonts w:ascii="Calibri" w:hAnsi="Calibri" w:eastAsia="Calibri"/>
          <w:i w:val="0"/>
          <w:color w:val="17202A"/>
          <w:sz w:val="20"/>
        </w:rPr>
        <w:t>The capital provider should be expressly identified in the waterfall and control documents or protected through a clearly documented agent or collateral-agent relationship. Consent rights should cover account changes, payment instructions, waterfall amendments, manager replacement, extraordinary deductions and releases. MediaHedge's servicing role should include cash reconciliation, exception reporting and timely remittance, while insolvency-remote or segregated handling should be used where the financing structure requires it.</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Cash priority, benefits and diligence</w:t>
      </w:r>
    </w:p>
    <w:p>
      <w:pPr>
        <w:pStyle w:val="Heading2"/>
        <w:spacing w:before="80" w:after="80"/>
      </w:pPr>
      <w:r>
        <w:rPr>
          <w:rFonts w:ascii="Calibri" w:hAnsi="Calibri" w:eastAsia="Calibri"/>
          <w:b/>
          <w:color w:val="2E6E9E"/>
          <w:sz w:val="24"/>
        </w:rPr>
        <w:t>Do not confuse allocation with legal control</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Component</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Primary function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NOA/payment direction</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Will the obligor pay the right account?</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Redirects source payments and supplies notices/cure protections.</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CAMA</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Who receives, accounts for and allocates receipts?</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Independent collection administration and contractual waterfall.</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Control agreement</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Is the deposit account perfected and blocked?</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Establishes bank acknowledgment and secured-party control.</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Reconciliation</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Do reported receipts equal cash and distributions?</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Contract-to-bank-to-ledger matching and exception escalation.</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Reduced diversion risk. </w:t>
      </w:r>
      <w:r>
        <w:rPr>
          <w:rFonts w:ascii="Calibri" w:hAnsi="Calibri" w:eastAsia="Calibri"/>
          <w:color w:val="17202A"/>
          <w:sz w:val="19"/>
        </w:rPr>
        <w:t>Payments bypass ordinary borrower operating accounts and follow binding instructions.</w:t>
      </w:r>
    </w:p>
    <w:p>
      <w:pPr>
        <w:pStyle w:val="ListBullet"/>
        <w:spacing w:after="50"/>
        <w:ind w:left="720" w:hanging="360"/>
      </w:pPr>
      <w:r>
        <w:rPr>
          <w:rFonts w:ascii="Calibri" w:hAnsi="Calibri" w:eastAsia="Calibri"/>
          <w:b/>
          <w:color w:val="17202A"/>
          <w:sz w:val="19"/>
        </w:rPr>
        <w:t xml:space="preserve">Priority certainty. </w:t>
      </w:r>
      <w:r>
        <w:rPr>
          <w:rFonts w:ascii="Calibri" w:hAnsi="Calibri" w:eastAsia="Calibri"/>
          <w:color w:val="17202A"/>
          <w:sz w:val="19"/>
        </w:rPr>
        <w:t>The waterfall makes senior debt service precede subordinate economics except for agreed deductions.</w:t>
      </w:r>
    </w:p>
    <w:p>
      <w:pPr>
        <w:pStyle w:val="ListBullet"/>
        <w:spacing w:after="50"/>
        <w:ind w:left="720" w:hanging="360"/>
      </w:pPr>
      <w:r>
        <w:rPr>
          <w:rFonts w:ascii="Calibri" w:hAnsi="Calibri" w:eastAsia="Calibri"/>
          <w:b/>
          <w:color w:val="17202A"/>
          <w:sz w:val="19"/>
        </w:rPr>
        <w:t xml:space="preserve">Transaction-level transparency. </w:t>
      </w:r>
      <w:r>
        <w:rPr>
          <w:rFonts w:ascii="Calibri" w:hAnsi="Calibri" w:eastAsia="Calibri"/>
          <w:color w:val="17202A"/>
          <w:sz w:val="19"/>
        </w:rPr>
        <w:t>Receipts can be matched to specific collateral, obligors, currencies and maturities.</w:t>
      </w:r>
    </w:p>
    <w:p>
      <w:pPr>
        <w:pStyle w:val="ListBullet"/>
        <w:spacing w:after="50"/>
        <w:ind w:left="720" w:hanging="360"/>
      </w:pPr>
      <w:r>
        <w:rPr>
          <w:rFonts w:ascii="Calibri" w:hAnsi="Calibri" w:eastAsia="Calibri"/>
          <w:b/>
          <w:color w:val="17202A"/>
          <w:sz w:val="19"/>
        </w:rPr>
        <w:t xml:space="preserve">Faster stress response. </w:t>
      </w:r>
      <w:r>
        <w:rPr>
          <w:rFonts w:ascii="Calibri" w:hAnsi="Calibri" w:eastAsia="Calibri"/>
          <w:color w:val="17202A"/>
          <w:sz w:val="19"/>
        </w:rPr>
        <w:t>Blocking, reserves and payment suspension can preserve cash before a formal enforcement.</w:t>
      </w:r>
    </w:p>
    <w:p>
      <w:pPr>
        <w:pStyle w:val="ListBullet"/>
        <w:spacing w:after="50"/>
        <w:ind w:left="720" w:hanging="360"/>
      </w:pPr>
      <w:r>
        <w:rPr>
          <w:rFonts w:ascii="Calibri" w:hAnsi="Calibri" w:eastAsia="Calibri"/>
          <w:b/>
          <w:color w:val="17202A"/>
          <w:sz w:val="19"/>
        </w:rPr>
        <w:t xml:space="preserve">Cleaner portfolio reporting. </w:t>
      </w:r>
      <w:r>
        <w:rPr>
          <w:rFonts w:ascii="Calibri" w:hAnsi="Calibri" w:eastAsia="Calibri"/>
          <w:color w:val="17202A"/>
          <w:sz w:val="19"/>
        </w:rPr>
        <w:t>Standardized remittance and reconciliation support lender NAV, accrual and performance analysis.</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A CAMA does not automatically create Article 9 control, and a control agreement does not determine the economic waterfall. Obligors may retain contractual setoff, tax withholding or deduction rights. Manager exculpation, bank liens, chargebacks, FX conversion, sanctions screening, dormant-account rules and replacement mechanics can interrupt collections. Waterfalls can also leak value through broadly defined expenses or senior-ranking third-party claims. Document language must be reconciled to actual bank onboarding and payment behavior.</w:t>
      </w:r>
    </w:p>
    <w:p>
      <w:pPr>
        <w:pStyle w:val="Heading2"/>
        <w:spacing w:before="100" w:after="60"/>
      </w:pPr>
      <w:r>
        <w:rPr>
          <w:rFonts w:ascii="Calibri" w:hAnsi="Calibri" w:eastAsia="Calibri"/>
          <w:b/>
          <w:color w:val="2E6E9E"/>
          <w:sz w:val="24"/>
        </w:rPr>
        <w:t>What MediaHedge verifies before funding</w:t>
      </w:r>
    </w:p>
    <w:p>
      <w:pPr>
        <w:pStyle w:val="ListBullet"/>
        <w:spacing w:after="50"/>
        <w:ind w:left="720" w:hanging="360"/>
      </w:pPr>
      <w:r>
        <w:rPr>
          <w:rFonts w:ascii="Calibri" w:hAnsi="Calibri" w:eastAsia="Calibri"/>
          <w:b/>
          <w:color w:val="17202A"/>
          <w:sz w:val="19"/>
        </w:rPr>
        <w:t xml:space="preserve">Source-to-account completeness. </w:t>
      </w:r>
      <w:r>
        <w:rPr>
          <w:rFonts w:ascii="Calibri" w:hAnsi="Calibri" w:eastAsia="Calibri"/>
          <w:color w:val="17202A"/>
          <w:sz w:val="19"/>
        </w:rPr>
        <w:t>Map every expected payer and confirm acknowledged instructions, currency and remittance data.</w:t>
      </w:r>
    </w:p>
    <w:p>
      <w:pPr>
        <w:pStyle w:val="ListBullet"/>
        <w:spacing w:after="50"/>
        <w:ind w:left="720" w:hanging="360"/>
      </w:pPr>
      <w:r>
        <w:rPr>
          <w:rFonts w:ascii="Calibri" w:hAnsi="Calibri" w:eastAsia="Calibri"/>
          <w:b/>
          <w:color w:val="17202A"/>
          <w:sz w:val="19"/>
        </w:rPr>
        <w:t xml:space="preserve">Legal control. </w:t>
      </w:r>
      <w:r>
        <w:rPr>
          <w:rFonts w:ascii="Calibri" w:hAnsi="Calibri" w:eastAsia="Calibri"/>
          <w:color w:val="17202A"/>
          <w:sz w:val="19"/>
        </w:rPr>
        <w:t>Confirm bank status, control effectiveness, competing liens, setoff and termination provisions.</w:t>
      </w:r>
    </w:p>
    <w:p>
      <w:pPr>
        <w:pStyle w:val="ListBullet"/>
        <w:spacing w:after="50"/>
        <w:ind w:left="720" w:hanging="360"/>
      </w:pPr>
      <w:r>
        <w:rPr>
          <w:rFonts w:ascii="Calibri" w:hAnsi="Calibri" w:eastAsia="Calibri"/>
          <w:b/>
          <w:color w:val="17202A"/>
          <w:sz w:val="19"/>
        </w:rPr>
        <w:t xml:space="preserve">Waterfall economics. </w:t>
      </w:r>
      <w:r>
        <w:rPr>
          <w:rFonts w:ascii="Calibri" w:hAnsi="Calibri" w:eastAsia="Calibri"/>
          <w:color w:val="17202A"/>
          <w:sz w:val="19"/>
        </w:rPr>
        <w:t>Model deductions, reserves, priority, payment frequency, shortfalls and junior-payment blockers.</w:t>
      </w:r>
    </w:p>
    <w:p>
      <w:pPr>
        <w:pStyle w:val="ListBullet"/>
        <w:spacing w:after="50"/>
        <w:ind w:left="720" w:hanging="360"/>
      </w:pPr>
      <w:r>
        <w:rPr>
          <w:rFonts w:ascii="Calibri" w:hAnsi="Calibri" w:eastAsia="Calibri"/>
          <w:b/>
          <w:color w:val="17202A"/>
          <w:sz w:val="19"/>
        </w:rPr>
        <w:t xml:space="preserve">Operational controls. </w:t>
      </w:r>
      <w:r>
        <w:rPr>
          <w:rFonts w:ascii="Calibri" w:hAnsi="Calibri" w:eastAsia="Calibri"/>
          <w:color w:val="17202A"/>
          <w:sz w:val="19"/>
        </w:rPr>
        <w:t>Test statements, reconciliation, exception aging, signatories, cyber controls and replacement procedures.</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Cash control is the bridge between collateral rights and realized recovery. The strongest structure combines obligor-level payment directions, independent collection administration, legally effective account control, a precise senior waterfall and daily operational reconciliation. Financiers should underwrite the complete path of cash - not merely the existence of a collection account.</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CAMA, Account Control and Collection Waterfalls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CAMA, Account Control and Collection Waterfalls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CAMA, Account Control and Collection Waterfalls</dc:title>
  <dc:subject>How film-finance cash is captured, prioritized and reported from source to repayment</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