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CREDIT STRESS, EXPLAINED</w:t>
      </w:r>
    </w:p>
    <w:p>
      <w:pPr>
        <w:spacing w:after="40"/>
      </w:pPr>
      <w:r>
        <w:rPr>
          <w:rFonts w:ascii="Calibri" w:hAnsi="Calibri" w:eastAsia="Calibri"/>
          <w:b/>
          <w:color w:val="17324D"/>
          <w:sz w:val="47"/>
        </w:rPr>
        <w:t>Defaults, Workouts and Recoveries</w:t>
      </w:r>
    </w:p>
    <w:p>
      <w:pPr>
        <w:spacing w:after="160"/>
      </w:pPr>
      <w:r>
        <w:rPr>
          <w:rFonts w:ascii="Calibri" w:hAnsi="Calibri" w:eastAsia="Calibri"/>
          <w:i/>
          <w:color w:val="65727E"/>
          <w:sz w:val="23"/>
        </w:rPr>
        <w:t>How MediaHedge preserves value when production, collateral or payment performance deteriorates</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A default is not a single event and a workout is not automatically a concession. MediaHedge's recovery strategy should identify the failure mode, preserve collateral and contractual rights, stabilize completion or collection, and choose the remedy that maximizes risk-adjusted net recovery. The relevant path may include draw suspension, cure, reservation of rights, completion-guarantor action, obligor enforcement, controlled cash, collateral realization or a negotiated restructuring.</w:t>
      </w:r>
    </w:p>
    <w:p>
      <w:pPr>
        <w:pStyle w:val="Heading1"/>
        <w:spacing w:before="100" w:after="60"/>
      </w:pPr>
      <w:r>
        <w:rPr>
          <w:rFonts w:ascii="Calibri" w:hAnsi="Calibri" w:eastAsia="Calibri"/>
          <w:b/>
          <w:color w:val="17324D"/>
          <w:sz w:val="30"/>
        </w:rPr>
        <w:t>Why rapid diagnosis matters</w:t>
      </w:r>
    </w:p>
    <w:p>
      <w:pPr>
        <w:spacing w:after="80"/>
      </w:pPr>
      <w:r>
        <w:rPr>
          <w:rFonts w:ascii="Calibri" w:hAnsi="Calibri" w:eastAsia="Calibri"/>
          <w:i w:val="0"/>
          <w:color w:val="17202A"/>
          <w:sz w:val="20"/>
        </w:rPr>
        <w:t>Film-finance distress can begin with a budget overage, missed production milestone, delivery rejection, distributor payment delay, tax-credit reduction, covenant breach or diversion of proceeds. Those events have different causes, documents and recovery paths. Treating every problem as an immediate foreclosure can destroy going-concern or completion value; waiting too long can waive rights or allow contracts to terminate. The first task is to determine whether the risk is temporary liquidity, documentation, performance, obligor credit or fundamental collateral impairment.</w:t>
      </w:r>
    </w:p>
    <w:p>
      <w:pPr>
        <w:pStyle w:val="Heading1"/>
        <w:spacing w:before="100" w:after="60"/>
      </w:pPr>
      <w:r>
        <w:rPr>
          <w:rFonts w:ascii="Calibri" w:hAnsi="Calibri" w:eastAsia="Calibri"/>
          <w:b/>
          <w:color w:val="17324D"/>
          <w:sz w:val="30"/>
        </w:rPr>
        <w:t>The five-stage workout architecture</w:t>
      </w:r>
    </w:p>
    <w:p>
      <w:pPr>
        <w:pStyle w:val="ListNumber"/>
        <w:spacing w:after="60"/>
        <w:ind w:left="691" w:hanging="331"/>
      </w:pPr>
      <w:r>
        <w:rPr>
          <w:rFonts w:ascii="Calibri" w:hAnsi="Calibri" w:eastAsia="Calibri"/>
          <w:b/>
          <w:color w:val="17324D"/>
          <w:sz w:val="19"/>
        </w:rPr>
        <w:t xml:space="preserve">Triage and standstill. </w:t>
      </w:r>
      <w:r>
        <w:rPr>
          <w:rFonts w:ascii="Calibri" w:hAnsi="Calibri" w:eastAsia="Calibri"/>
          <w:color w:val="17202A"/>
          <w:sz w:val="19"/>
        </w:rPr>
        <w:t>Confirm facts, stop uncontrolled advances or distributions, preserve records and issue required reservations and notices.</w:t>
      </w:r>
    </w:p>
    <w:p>
      <w:pPr>
        <w:pStyle w:val="ListNumber"/>
        <w:spacing w:after="60"/>
        <w:ind w:left="691" w:hanging="331"/>
      </w:pPr>
      <w:r>
        <w:rPr>
          <w:rFonts w:ascii="Calibri" w:hAnsi="Calibri" w:eastAsia="Calibri"/>
          <w:b/>
          <w:color w:val="17324D"/>
          <w:sz w:val="19"/>
        </w:rPr>
        <w:t xml:space="preserve">Collateral stabilization. </w:t>
      </w:r>
      <w:r>
        <w:rPr>
          <w:rFonts w:ascii="Calibri" w:hAnsi="Calibri" w:eastAsia="Calibri"/>
          <w:color w:val="17202A"/>
          <w:sz w:val="19"/>
        </w:rPr>
        <w:t>Protect accounts, contracts, materials, insurance, completion rights, filings and remaining production liquidity.</w:t>
      </w:r>
    </w:p>
    <w:p>
      <w:pPr>
        <w:pStyle w:val="ListNumber"/>
        <w:spacing w:after="60"/>
        <w:ind w:left="691" w:hanging="331"/>
      </w:pPr>
      <w:r>
        <w:rPr>
          <w:rFonts w:ascii="Calibri" w:hAnsi="Calibri" w:eastAsia="Calibri"/>
          <w:b/>
          <w:color w:val="17324D"/>
          <w:sz w:val="19"/>
        </w:rPr>
        <w:t xml:space="preserve">Path selection. </w:t>
      </w:r>
      <w:r>
        <w:rPr>
          <w:rFonts w:ascii="Calibri" w:hAnsi="Calibri" w:eastAsia="Calibri"/>
          <w:color w:val="17202A"/>
          <w:sz w:val="19"/>
        </w:rPr>
        <w:t>Compare cure, protective advance, guarantor takeover, extension, sale, enforcement and negotiated restructuring.</w:t>
      </w:r>
    </w:p>
    <w:p>
      <w:pPr>
        <w:pStyle w:val="ListNumber"/>
        <w:spacing w:after="60"/>
        <w:ind w:left="691" w:hanging="331"/>
      </w:pPr>
      <w:r>
        <w:rPr>
          <w:rFonts w:ascii="Calibri" w:hAnsi="Calibri" w:eastAsia="Calibri"/>
          <w:b/>
          <w:color w:val="17324D"/>
          <w:sz w:val="19"/>
        </w:rPr>
        <w:t xml:space="preserve">Governed execution. </w:t>
      </w:r>
      <w:r>
        <w:rPr>
          <w:rFonts w:ascii="Calibri" w:hAnsi="Calibri" w:eastAsia="Calibri"/>
          <w:color w:val="17202A"/>
          <w:sz w:val="19"/>
        </w:rPr>
        <w:t>Follow investor voting, intercreditor, notice, appraisal and commercially reasonable sale requirements.</w:t>
      </w:r>
    </w:p>
    <w:p>
      <w:pPr>
        <w:pStyle w:val="ListNumber"/>
        <w:spacing w:after="60"/>
        <w:ind w:left="691" w:hanging="331"/>
      </w:pPr>
      <w:r>
        <w:rPr>
          <w:rFonts w:ascii="Calibri" w:hAnsi="Calibri" w:eastAsia="Calibri"/>
          <w:b/>
          <w:color w:val="17324D"/>
          <w:sz w:val="19"/>
        </w:rPr>
        <w:t xml:space="preserve">Recovery accounting. </w:t>
      </w:r>
      <w:r>
        <w:rPr>
          <w:rFonts w:ascii="Calibri" w:hAnsi="Calibri" w:eastAsia="Calibri"/>
          <w:color w:val="17202A"/>
          <w:sz w:val="19"/>
        </w:rPr>
        <w:t>Track gross receipts, expenses, interest treatment, charge-offs, timing and net recovery by collateral source.</w:t>
      </w:r>
    </w:p>
    <w:p>
      <w:pPr>
        <w:pStyle w:val="Heading1"/>
        <w:spacing w:before="100" w:after="60"/>
      </w:pPr>
      <w:r>
        <w:rPr>
          <w:rFonts w:ascii="Calibri" w:hAnsi="Calibri" w:eastAsia="Calibri"/>
          <w:b/>
          <w:color w:val="17324D"/>
          <w:sz w:val="30"/>
        </w:rPr>
        <w:t>How the recovery decision is made</w:t>
      </w:r>
    </w:p>
    <w:p>
      <w:pPr>
        <w:spacing w:after="80"/>
      </w:pPr>
      <w:r>
        <w:rPr>
          <w:rFonts w:ascii="Calibri" w:hAnsi="Calibri" w:eastAsia="Calibri"/>
          <w:i w:val="0"/>
          <w:color w:val="17202A"/>
          <w:sz w:val="20"/>
        </w:rPr>
        <w:t>MediaHedge builds a downside cash flow for each remedy, including additional funding, legal and servicing cost, time to recovery, collateral decay and execution probability. Completion is supported only when incremental capital preserves more net value than liquidation or abandonment. Extensions require a credible takeout, appropriate consideration and refreshed collateral controls. Claims are submitted within contractual deadlines while parallel obligor and collateral rights are preserved. Consents and waivers are documented so the capital partner can distinguish a temporary accommodation from a release or impairment of remedies.</w:t>
      </w:r>
    </w:p>
    <w:p>
      <w:pPr>
        <w:pStyle w:val="Heading1"/>
        <w:spacing w:before="0" w:after="80"/>
      </w:pPr>
      <w:r>
        <w:rPr>
          <w:rFonts w:ascii="Calibri" w:hAnsi="Calibri" w:eastAsia="Calibri"/>
          <w:b/>
          <w:color w:val="17324D"/>
          <w:sz w:val="30"/>
        </w:rPr>
        <w:t>Where the financier controls the outcome</w:t>
      </w:r>
    </w:p>
    <w:p>
      <w:pPr>
        <w:spacing w:after="80"/>
      </w:pPr>
      <w:r>
        <w:rPr>
          <w:rFonts w:ascii="Calibri" w:hAnsi="Calibri" w:eastAsia="Calibri"/>
          <w:i w:val="0"/>
          <w:color w:val="17202A"/>
          <w:sz w:val="20"/>
        </w:rPr>
        <w:t>Financing documents should reserve material workout decisions to the agreed investor threshold: protective advances, maturity extensions, principal reductions, collateral releases, claim settlements, litigation, asset sales and enforcement. MediaHedge may administer the process as servicer or agent, but conflicts, related-party transactions and servicing compensation must be transparent. Recoveries should flow through the controlled account and contractual waterfall after approved enforcement expenses.</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Recovery paths, benefits and diligence</w:t>
      </w:r>
    </w:p>
    <w:p>
      <w:pPr>
        <w:pStyle w:val="Heading2"/>
        <w:spacing w:before="80" w:after="80"/>
      </w:pPr>
      <w:r>
        <w:rPr>
          <w:rFonts w:ascii="Calibri" w:hAnsi="Calibri" w:eastAsia="Calibri"/>
          <w:b/>
          <w:color w:val="2E6E9E"/>
          <w:sz w:val="24"/>
        </w:rPr>
        <w:t>Match the remedy to the failure mode</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Failure mode</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question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Potential response</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Budget/schedule breach</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Can incremental funding preserve delivery value?</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Draw stop, cure plan, reserve, bond-company action or takeover.</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Delivery dispute</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Is rejection valid and curable?</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Objective delivery process, cure, expert/arbitration and contract preservation.</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Obligor nonpayment</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Is the debt due and collectible?</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Demand, surety/credit claim, setoff analysis, litigation or settlement.</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Collateral shortfall</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Which path maximizes net present recovery?</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Cash sweep, extension, sale, foreclosure or negotiated restructuring.</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Preserved option value. </w:t>
      </w:r>
      <w:r>
        <w:rPr>
          <w:rFonts w:ascii="Calibri" w:hAnsi="Calibri" w:eastAsia="Calibri"/>
          <w:color w:val="17202A"/>
          <w:sz w:val="19"/>
        </w:rPr>
        <w:t>Early action keeps completion, cure, claim and enforcement routes available.</w:t>
      </w:r>
    </w:p>
    <w:p>
      <w:pPr>
        <w:pStyle w:val="ListBullet"/>
        <w:spacing w:after="50"/>
        <w:ind w:left="720" w:hanging="360"/>
      </w:pPr>
      <w:r>
        <w:rPr>
          <w:rFonts w:ascii="Calibri" w:hAnsi="Calibri" w:eastAsia="Calibri"/>
          <w:b/>
          <w:color w:val="17202A"/>
          <w:sz w:val="19"/>
        </w:rPr>
        <w:t xml:space="preserve">Economically disciplined remedies. </w:t>
      </w:r>
      <w:r>
        <w:rPr>
          <w:rFonts w:ascii="Calibri" w:hAnsi="Calibri" w:eastAsia="Calibri"/>
          <w:color w:val="17202A"/>
          <w:sz w:val="19"/>
        </w:rPr>
        <w:t>Decisions compare net present recovery rather than nominal claim size.</w:t>
      </w:r>
    </w:p>
    <w:p>
      <w:pPr>
        <w:pStyle w:val="ListBullet"/>
        <w:spacing w:after="50"/>
        <w:ind w:left="720" w:hanging="360"/>
      </w:pPr>
      <w:r>
        <w:rPr>
          <w:rFonts w:ascii="Calibri" w:hAnsi="Calibri" w:eastAsia="Calibri"/>
          <w:b/>
          <w:color w:val="17202A"/>
          <w:sz w:val="19"/>
        </w:rPr>
        <w:t xml:space="preserve">Controlled additional exposure. </w:t>
      </w:r>
      <w:r>
        <w:rPr>
          <w:rFonts w:ascii="Calibri" w:hAnsi="Calibri" w:eastAsia="Calibri"/>
          <w:color w:val="17202A"/>
          <w:sz w:val="19"/>
        </w:rPr>
        <w:t>Protective advances require explicit value preservation and governance.</w:t>
      </w:r>
    </w:p>
    <w:p>
      <w:pPr>
        <w:pStyle w:val="ListBullet"/>
        <w:spacing w:after="50"/>
        <w:ind w:left="720" w:hanging="360"/>
      </w:pPr>
      <w:r>
        <w:rPr>
          <w:rFonts w:ascii="Calibri" w:hAnsi="Calibri" w:eastAsia="Calibri"/>
          <w:b/>
          <w:color w:val="17202A"/>
          <w:sz w:val="19"/>
        </w:rPr>
        <w:t xml:space="preserve">Documented consent. </w:t>
      </w:r>
      <w:r>
        <w:rPr>
          <w:rFonts w:ascii="Calibri" w:hAnsi="Calibri" w:eastAsia="Calibri"/>
          <w:color w:val="17202A"/>
          <w:sz w:val="19"/>
        </w:rPr>
        <w:t>Investor approvals and reservations reduce waiver, conflict and agency risk.</w:t>
      </w:r>
    </w:p>
    <w:p>
      <w:pPr>
        <w:pStyle w:val="ListBullet"/>
        <w:spacing w:after="50"/>
        <w:ind w:left="720" w:hanging="360"/>
      </w:pPr>
      <w:r>
        <w:rPr>
          <w:rFonts w:ascii="Calibri" w:hAnsi="Calibri" w:eastAsia="Calibri"/>
          <w:b/>
          <w:color w:val="17202A"/>
          <w:sz w:val="19"/>
        </w:rPr>
        <w:t xml:space="preserve">Transparent loss attribution. </w:t>
      </w:r>
      <w:r>
        <w:rPr>
          <w:rFonts w:ascii="Calibri" w:hAnsi="Calibri" w:eastAsia="Calibri"/>
          <w:color w:val="17202A"/>
          <w:sz w:val="19"/>
        </w:rPr>
        <w:t>Recovery accounting separates collateral performance, expenses, timing and servicing outcomes.</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Defaults can trigger cross-defaults, termination rights and claim deadlines before a full investigation is complete. A completion guarantor may elect takeover rather than cash payment and may dispute coverage. UCC remedies require commercially reasonable process; intellectual property and foreign rights may be difficult to monetize. Protective advances can prime economics or increase loss if completion value is overstated. Repeated informal extensions may capitalize interest without improving recovery. Gross recoveries must be reduced by time, legal cost, servicing expense and any senior-ranking claims.</w:t>
      </w:r>
    </w:p>
    <w:p>
      <w:pPr>
        <w:pStyle w:val="Heading2"/>
        <w:spacing w:before="100" w:after="60"/>
      </w:pPr>
      <w:r>
        <w:rPr>
          <w:rFonts w:ascii="Calibri" w:hAnsi="Calibri" w:eastAsia="Calibri"/>
          <w:b/>
          <w:color w:val="2E6E9E"/>
          <w:sz w:val="24"/>
        </w:rPr>
        <w:t>What MediaHedge prepares before distress</w:t>
      </w:r>
    </w:p>
    <w:p>
      <w:pPr>
        <w:pStyle w:val="ListBullet"/>
        <w:spacing w:after="50"/>
        <w:ind w:left="720" w:hanging="360"/>
      </w:pPr>
      <w:r>
        <w:rPr>
          <w:rFonts w:ascii="Calibri" w:hAnsi="Calibri" w:eastAsia="Calibri"/>
          <w:b/>
          <w:color w:val="17202A"/>
          <w:sz w:val="19"/>
        </w:rPr>
        <w:t xml:space="preserve">Rights calendar. </w:t>
      </w:r>
      <w:r>
        <w:rPr>
          <w:rFonts w:ascii="Calibri" w:hAnsi="Calibri" w:eastAsia="Calibri"/>
          <w:color w:val="17202A"/>
          <w:sz w:val="19"/>
        </w:rPr>
        <w:t>Maintain default, notice, cure, claim, limitation and termination deadlines by document.</w:t>
      </w:r>
    </w:p>
    <w:p>
      <w:pPr>
        <w:pStyle w:val="ListBullet"/>
        <w:spacing w:after="50"/>
        <w:ind w:left="720" w:hanging="360"/>
      </w:pPr>
      <w:r>
        <w:rPr>
          <w:rFonts w:ascii="Calibri" w:hAnsi="Calibri" w:eastAsia="Calibri"/>
          <w:b/>
          <w:color w:val="17202A"/>
          <w:sz w:val="19"/>
        </w:rPr>
        <w:t xml:space="preserve">Collateral access. </w:t>
      </w:r>
      <w:r>
        <w:rPr>
          <w:rFonts w:ascii="Calibri" w:hAnsi="Calibri" w:eastAsia="Calibri"/>
          <w:color w:val="17202A"/>
          <w:sz w:val="19"/>
        </w:rPr>
        <w:t>Preserve control of accounts, materials, records, contracts, filings and delegated powers.</w:t>
      </w:r>
    </w:p>
    <w:p>
      <w:pPr>
        <w:pStyle w:val="ListBullet"/>
        <w:spacing w:after="50"/>
        <w:ind w:left="720" w:hanging="360"/>
      </w:pPr>
      <w:r>
        <w:rPr>
          <w:rFonts w:ascii="Calibri" w:hAnsi="Calibri" w:eastAsia="Calibri"/>
          <w:b/>
          <w:color w:val="17202A"/>
          <w:sz w:val="19"/>
        </w:rPr>
        <w:t xml:space="preserve">Decision model. </w:t>
      </w:r>
      <w:r>
        <w:rPr>
          <w:rFonts w:ascii="Calibri" w:hAnsi="Calibri" w:eastAsia="Calibri"/>
          <w:color w:val="17202A"/>
          <w:sz w:val="19"/>
        </w:rPr>
        <w:t>Prebuild remedy cash flows, authority thresholds, vendor panels and protective-advance tests.</w:t>
      </w:r>
    </w:p>
    <w:p>
      <w:pPr>
        <w:pStyle w:val="ListBullet"/>
        <w:spacing w:after="50"/>
        <w:ind w:left="720" w:hanging="360"/>
      </w:pPr>
      <w:r>
        <w:rPr>
          <w:rFonts w:ascii="Calibri" w:hAnsi="Calibri" w:eastAsia="Calibri"/>
          <w:b/>
          <w:color w:val="17202A"/>
          <w:sz w:val="19"/>
        </w:rPr>
        <w:t xml:space="preserve">Recovery reporting. </w:t>
      </w:r>
      <w:r>
        <w:rPr>
          <w:rFonts w:ascii="Calibri" w:hAnsi="Calibri" w:eastAsia="Calibri"/>
          <w:color w:val="17202A"/>
          <w:sz w:val="19"/>
        </w:rPr>
        <w:t>Report probability, timing, expenses, nonaccrual, charge-offs and net realized recovery consistently.</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Effective workouts preserve value before choosing a remedy. MediaHedge should diagnose the failure mode, secure cash and contracts, keep claims timely, compare net present recovery paths and obtain the required financier consents. The objective is not to avoid the label of default; it is to maximize principal recovery while controlling incremental capital, time and legal risk.</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Defaults, Workouts and Recoveries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Defaults, Workouts and Recoveries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Defaults, Workouts and Recoveries</dc:title>
  <dc:subject>How MediaHedge preserves value when production, collateral or payment performance deteriorates</dc:subject>
  <dc:creator>MediaHedge</dc:creator>
  <cp:keywords>MediaHedge, film finance, television finance, private credit, financier brief</cp:keywords>
  <dc:description>generated by python-docx</dc:description>
  <cp:lastModifiedBy/>
  <cp:revision>1</cp:revision>
  <dcterms:created xsi:type="dcterms:W3CDTF">2013-12-23T23:15:00Z</dcterms:created>
  <dcterms:modified xsi:type="dcterms:W3CDTF">2013-12-23T23:15:00Z</dcterms:modified>
  <cp:category/>
</cp:coreProperties>
</file>