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PRODUCTION INSURANCE, EXPLAINED</w:t>
      </w:r>
    </w:p>
    <w:p>
      <w:pPr>
        <w:spacing w:after="40"/>
      </w:pPr>
      <w:r>
        <w:rPr>
          <w:rFonts w:ascii="Calibri" w:hAnsi="Calibri" w:eastAsia="Calibri"/>
          <w:b/>
          <w:color w:val="17324D"/>
          <w:sz w:val="47"/>
        </w:rPr>
        <w:t>The Film-Production Insurance Stack</w:t>
      </w:r>
    </w:p>
    <w:p>
      <w:pPr>
        <w:spacing w:after="160"/>
      </w:pPr>
      <w:r>
        <w:rPr>
          <w:rFonts w:ascii="Calibri" w:hAnsi="Calibri" w:eastAsia="Calibri"/>
          <w:i/>
          <w:color w:val="65727E"/>
          <w:sz w:val="23"/>
        </w:rPr>
        <w:t>How casualty, liability and specialty policies complement completion and credit protection</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Film-production insurance is a portfolio of policies addressing defined physical, personnel, liability and professional risks during production and distribution. It can preserve budget and collateral value after a covered event, but it is not a completion guaranty and ordinarily does not insure distributor solvency, tax-credit realization, unsold-rights performance or loan repayment. Financier protection depends on correct insured status, loss-payee endorsements, limits, deductibles and claims control.</w:t>
      </w:r>
    </w:p>
    <w:p>
      <w:pPr>
        <w:pStyle w:val="Heading1"/>
        <w:spacing w:before="100" w:after="60"/>
      </w:pPr>
      <w:r>
        <w:rPr>
          <w:rFonts w:ascii="Calibri" w:hAnsi="Calibri" w:eastAsia="Calibri"/>
          <w:b/>
          <w:color w:val="17324D"/>
          <w:sz w:val="30"/>
        </w:rPr>
        <w:t>Why production creates a specialized risk stack</w:t>
      </w:r>
    </w:p>
    <w:p>
      <w:pPr>
        <w:spacing w:after="80"/>
      </w:pPr>
      <w:r>
        <w:rPr>
          <w:rFonts w:ascii="Calibri" w:hAnsi="Calibri" w:eastAsia="Calibri"/>
          <w:i w:val="0"/>
          <w:color w:val="17202A"/>
          <w:sz w:val="20"/>
        </w:rPr>
        <w:t>A production combines cast availability, locations, equipment, vehicles, stunts, employees, digital media, intellectual property and third-party contracts on a time-sensitive schedule. A fire, injury, equipment loss, cast illness, data failure or rights claim can stop production or create unbudgeted liability. Insurance transfers selected fortuitous risks so that a covered loss does not automatically consume completion liquidity or impair delivery. Different policies respond to different insured interests and cannot be treated as interchangeable.</w:t>
      </w:r>
    </w:p>
    <w:p>
      <w:pPr>
        <w:pStyle w:val="Heading1"/>
        <w:spacing w:before="100" w:after="60"/>
      </w:pPr>
      <w:r>
        <w:rPr>
          <w:rFonts w:ascii="Calibri" w:hAnsi="Calibri" w:eastAsia="Calibri"/>
          <w:b/>
          <w:color w:val="17324D"/>
          <w:sz w:val="30"/>
        </w:rPr>
        <w:t>The five-part insurance architecture</w:t>
      </w:r>
    </w:p>
    <w:p>
      <w:pPr>
        <w:pStyle w:val="ListNumber"/>
        <w:spacing w:after="60"/>
        <w:ind w:left="691" w:hanging="331"/>
      </w:pPr>
      <w:r>
        <w:rPr>
          <w:rFonts w:ascii="Calibri" w:hAnsi="Calibri" w:eastAsia="Calibri"/>
          <w:b/>
          <w:color w:val="17324D"/>
          <w:sz w:val="19"/>
        </w:rPr>
        <w:t xml:space="preserve">Production package. </w:t>
      </w:r>
      <w:r>
        <w:rPr>
          <w:rFonts w:ascii="Calibri" w:hAnsi="Calibri" w:eastAsia="Calibri"/>
          <w:color w:val="17202A"/>
          <w:sz w:val="19"/>
        </w:rPr>
        <w:t>Cast, negative/media, props, sets, wardrobe, equipment and extra-expense coverages address specified production losses.</w:t>
      </w:r>
    </w:p>
    <w:p>
      <w:pPr>
        <w:pStyle w:val="ListNumber"/>
        <w:spacing w:after="60"/>
        <w:ind w:left="691" w:hanging="331"/>
      </w:pPr>
      <w:r>
        <w:rPr>
          <w:rFonts w:ascii="Calibri" w:hAnsi="Calibri" w:eastAsia="Calibri"/>
          <w:b/>
          <w:color w:val="17324D"/>
          <w:sz w:val="19"/>
        </w:rPr>
        <w:t xml:space="preserve">Liability and workforce. </w:t>
      </w:r>
      <w:r>
        <w:rPr>
          <w:rFonts w:ascii="Calibri" w:hAnsi="Calibri" w:eastAsia="Calibri"/>
          <w:color w:val="17202A"/>
          <w:sz w:val="19"/>
        </w:rPr>
        <w:t>General liability, workers compensation, employer liability, auto and umbrella policies address third-party and employee claims.</w:t>
      </w:r>
    </w:p>
    <w:p>
      <w:pPr>
        <w:pStyle w:val="ListNumber"/>
        <w:spacing w:after="60"/>
        <w:ind w:left="691" w:hanging="331"/>
      </w:pPr>
      <w:r>
        <w:rPr>
          <w:rFonts w:ascii="Calibri" w:hAnsi="Calibri" w:eastAsia="Calibri"/>
          <w:b/>
          <w:color w:val="17324D"/>
          <w:sz w:val="19"/>
        </w:rPr>
        <w:t xml:space="preserve">Errors and omissions. </w:t>
      </w:r>
      <w:r>
        <w:rPr>
          <w:rFonts w:ascii="Calibri" w:hAnsi="Calibri" w:eastAsia="Calibri"/>
          <w:color w:val="17202A"/>
          <w:sz w:val="19"/>
        </w:rPr>
        <w:t>E&amp;O addresses covered claims involving content, copyright, privacy, defamation and related distribution exposures.</w:t>
      </w:r>
    </w:p>
    <w:p>
      <w:pPr>
        <w:pStyle w:val="ListNumber"/>
        <w:spacing w:after="60"/>
        <w:ind w:left="691" w:hanging="331"/>
      </w:pPr>
      <w:r>
        <w:rPr>
          <w:rFonts w:ascii="Calibri" w:hAnsi="Calibri" w:eastAsia="Calibri"/>
          <w:b/>
          <w:color w:val="17324D"/>
          <w:sz w:val="19"/>
        </w:rPr>
        <w:t xml:space="preserve">Specialty coverage. </w:t>
      </w:r>
      <w:r>
        <w:rPr>
          <w:rFonts w:ascii="Calibri" w:hAnsi="Calibri" w:eastAsia="Calibri"/>
          <w:color w:val="17202A"/>
          <w:sz w:val="19"/>
        </w:rPr>
        <w:t>Cyber, crime, political risk, weather, animal, aviation or other policies may be required by the production profile.</w:t>
      </w:r>
    </w:p>
    <w:p>
      <w:pPr>
        <w:pStyle w:val="ListNumber"/>
        <w:spacing w:after="60"/>
        <w:ind w:left="691" w:hanging="331"/>
      </w:pPr>
      <w:r>
        <w:rPr>
          <w:rFonts w:ascii="Calibri" w:hAnsi="Calibri" w:eastAsia="Calibri"/>
          <w:b/>
          <w:color w:val="17324D"/>
          <w:sz w:val="19"/>
        </w:rPr>
        <w:t xml:space="preserve">Financier endorsements. </w:t>
      </w:r>
      <w:r>
        <w:rPr>
          <w:rFonts w:ascii="Calibri" w:hAnsi="Calibri" w:eastAsia="Calibri"/>
          <w:color w:val="17202A"/>
          <w:sz w:val="19"/>
        </w:rPr>
        <w:t>Loss-payee, additional-insured, mortgagee or lender endorsements allocate notice and proceeds rights by policy type.</w:t>
      </w:r>
    </w:p>
    <w:p>
      <w:pPr>
        <w:pStyle w:val="Heading1"/>
        <w:spacing w:before="100" w:after="60"/>
      </w:pPr>
      <w:r>
        <w:rPr>
          <w:rFonts w:ascii="Calibri" w:hAnsi="Calibri" w:eastAsia="Calibri"/>
          <w:b/>
          <w:color w:val="17324D"/>
          <w:sz w:val="30"/>
        </w:rPr>
        <w:t>How insurance protects financing value</w:t>
      </w:r>
    </w:p>
    <w:p>
      <w:pPr>
        <w:spacing w:after="80"/>
      </w:pPr>
      <w:r>
        <w:rPr>
          <w:rFonts w:ascii="Calibri" w:hAnsi="Calibri" w:eastAsia="Calibri"/>
          <w:i w:val="0"/>
          <w:color w:val="17202A"/>
          <w:sz w:val="20"/>
        </w:rPr>
        <w:t>Before closing, the broker maps budget and production activities to required policies, limits, deductibles, covered periods and insured entities. The lender reviews certificates but relies on policies and endorsements. Premiums are paid and coverage remains effective through production and required distribution periods. After a covered event, timely notice, mitigation, documentation and proof of loss preserve the claim. Proceeds should be applied under the loan documents to repair, replace, complete or repay, depending on the loss, policy language and financier election rights.</w:t>
      </w:r>
    </w:p>
    <w:p>
      <w:pPr>
        <w:pStyle w:val="Heading1"/>
        <w:spacing w:before="0" w:after="8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The financing parties should be named in the legally appropriate capacity. Loss-payee status generally addresses rights in covered property proceeds; additional-insured status addresses liability protection; neither automatically grants every notice, control or payment right. The closing set should include endorsements, cancellation or material-change notice where available, waiver-of-subrogation treatment, primary/noncontributory terms where relevant and consistency with the completion guaranty and security agreement.</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Coverage map, benefits and diligence</w:t>
      </w:r>
    </w:p>
    <w:p>
      <w:pPr>
        <w:pStyle w:val="Heading2"/>
        <w:spacing w:before="80" w:after="80"/>
      </w:pPr>
      <w:r>
        <w:rPr>
          <w:rFonts w:ascii="Calibri" w:hAnsi="Calibri" w:eastAsia="Calibri"/>
          <w:b/>
          <w:color w:val="2E6E9E"/>
          <w:sz w:val="24"/>
        </w:rPr>
        <w:t>Match the exposure to the correct policy</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Exposure</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Typical response</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Cast/physical production</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Can a covered event derail budget or schedule?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Cast and production-package coverages; completion coordination.</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Third-party injury/damage</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Can liability consume production assets?</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CGL, workers compensation, auto and umbrella/excess.</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Content/right claims</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Can delivery or exploitation trigger litigation?</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E&amp;O after clearance, chain-of-title and legal review.</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Financier interest</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Will notice and proceeds reach the lender?</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Correct endorsements, limits, cancellation notice and claims terms.</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Budget preservation. </w:t>
      </w:r>
      <w:r>
        <w:rPr>
          <w:rFonts w:ascii="Calibri" w:hAnsi="Calibri" w:eastAsia="Calibri"/>
          <w:color w:val="17202A"/>
          <w:sz w:val="19"/>
        </w:rPr>
        <w:t>Covered loss proceeds can fund repair, replacement or extra expense rather than consume loan liquidity.</w:t>
      </w:r>
    </w:p>
    <w:p>
      <w:pPr>
        <w:pStyle w:val="ListBullet"/>
        <w:spacing w:after="50"/>
        <w:ind w:left="720" w:hanging="360"/>
      </w:pPr>
      <w:r>
        <w:rPr>
          <w:rFonts w:ascii="Calibri" w:hAnsi="Calibri" w:eastAsia="Calibri"/>
          <w:b/>
          <w:color w:val="17202A"/>
          <w:sz w:val="19"/>
        </w:rPr>
        <w:t xml:space="preserve">Liability containment. </w:t>
      </w:r>
      <w:r>
        <w:rPr>
          <w:rFonts w:ascii="Calibri" w:hAnsi="Calibri" w:eastAsia="Calibri"/>
          <w:color w:val="17202A"/>
          <w:sz w:val="19"/>
        </w:rPr>
        <w:t>Third-party and employee claims are transferred within policy limits and terms.</w:t>
      </w:r>
    </w:p>
    <w:p>
      <w:pPr>
        <w:pStyle w:val="ListBullet"/>
        <w:spacing w:after="50"/>
        <w:ind w:left="720" w:hanging="360"/>
      </w:pPr>
      <w:r>
        <w:rPr>
          <w:rFonts w:ascii="Calibri" w:hAnsi="Calibri" w:eastAsia="Calibri"/>
          <w:b/>
          <w:color w:val="17202A"/>
          <w:sz w:val="19"/>
        </w:rPr>
        <w:t xml:space="preserve">Delivery support. </w:t>
      </w:r>
      <w:r>
        <w:rPr>
          <w:rFonts w:ascii="Calibri" w:hAnsi="Calibri" w:eastAsia="Calibri"/>
          <w:color w:val="17202A"/>
          <w:sz w:val="19"/>
        </w:rPr>
        <w:t>E&amp;O and production coverage can protect exploitation and completion paths against defined insured events.</w:t>
      </w:r>
    </w:p>
    <w:p>
      <w:pPr>
        <w:pStyle w:val="ListBullet"/>
        <w:spacing w:after="50"/>
        <w:ind w:left="720" w:hanging="360"/>
      </w:pPr>
      <w:r>
        <w:rPr>
          <w:rFonts w:ascii="Calibri" w:hAnsi="Calibri" w:eastAsia="Calibri"/>
          <w:b/>
          <w:color w:val="17202A"/>
          <w:sz w:val="19"/>
        </w:rPr>
        <w:t xml:space="preserve">Direct proceeds rights. </w:t>
      </w:r>
      <w:r>
        <w:rPr>
          <w:rFonts w:ascii="Calibri" w:hAnsi="Calibri" w:eastAsia="Calibri"/>
          <w:color w:val="17202A"/>
          <w:sz w:val="19"/>
        </w:rPr>
        <w:t>Appropriate endorsements can provide notice and payment protection for the financier's interest.</w:t>
      </w:r>
    </w:p>
    <w:p>
      <w:pPr>
        <w:pStyle w:val="ListBullet"/>
        <w:spacing w:after="50"/>
        <w:ind w:left="720" w:hanging="360"/>
      </w:pPr>
      <w:r>
        <w:rPr>
          <w:rFonts w:ascii="Calibri" w:hAnsi="Calibri" w:eastAsia="Calibri"/>
          <w:b/>
          <w:color w:val="17202A"/>
          <w:sz w:val="19"/>
        </w:rPr>
        <w:t xml:space="preserve">Risk-specific underwriting. </w:t>
      </w:r>
      <w:r>
        <w:rPr>
          <w:rFonts w:ascii="Calibri" w:hAnsi="Calibri" w:eastAsia="Calibri"/>
          <w:color w:val="17202A"/>
          <w:sz w:val="19"/>
        </w:rPr>
        <w:t>Broker and carrier diligence reveal exclusions, deductibles and operational controls before production begins.</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 certificate of insurance is evidence, not the policy or endorsement. Coverage can be defeated by exclusions, warranties, misrepresentation, late notice, unpaid premium, deductibles, sublimits, aggregation or events outside the policy period. Cast exclusions and communicable-disease, cyber, war, governmental-action or labor limitations can be material. E&amp;O does not replace chain-of-title diligence. Insurance valuation may fund restoration rather than debt repayment. Completion, surety and receivables-default protection remain separate instruments.</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Coverage map. </w:t>
      </w:r>
      <w:r>
        <w:rPr>
          <w:rFonts w:ascii="Calibri" w:hAnsi="Calibri" w:eastAsia="Calibri"/>
          <w:color w:val="17202A"/>
          <w:sz w:val="19"/>
        </w:rPr>
        <w:t>Match production activities, assets, personnel, locations and delivery duties to policy forms and periods.</w:t>
      </w:r>
    </w:p>
    <w:p>
      <w:pPr>
        <w:pStyle w:val="ListBullet"/>
        <w:spacing w:after="50"/>
        <w:ind w:left="720" w:hanging="360"/>
      </w:pPr>
      <w:r>
        <w:rPr>
          <w:rFonts w:ascii="Calibri" w:hAnsi="Calibri" w:eastAsia="Calibri"/>
          <w:b/>
          <w:color w:val="17202A"/>
          <w:sz w:val="19"/>
        </w:rPr>
        <w:t xml:space="preserve">Financier status. </w:t>
      </w:r>
      <w:r>
        <w:rPr>
          <w:rFonts w:ascii="Calibri" w:hAnsi="Calibri" w:eastAsia="Calibri"/>
          <w:color w:val="17202A"/>
          <w:sz w:val="19"/>
        </w:rPr>
        <w:t>Obtain actual endorsements naming the correct parties and specifying notice and proceeds rights.</w:t>
      </w:r>
    </w:p>
    <w:p>
      <w:pPr>
        <w:pStyle w:val="ListBullet"/>
        <w:spacing w:after="50"/>
        <w:ind w:left="720" w:hanging="360"/>
      </w:pPr>
      <w:r>
        <w:rPr>
          <w:rFonts w:ascii="Calibri" w:hAnsi="Calibri" w:eastAsia="Calibri"/>
          <w:b/>
          <w:color w:val="17202A"/>
          <w:sz w:val="19"/>
        </w:rPr>
        <w:t xml:space="preserve">Limits and exclusions. </w:t>
      </w:r>
      <w:r>
        <w:rPr>
          <w:rFonts w:ascii="Calibri" w:hAnsi="Calibri" w:eastAsia="Calibri"/>
          <w:color w:val="17202A"/>
          <w:sz w:val="19"/>
        </w:rPr>
        <w:t>Test deductibles, sublimits, exclusions, warranties, carrier strength and claims-made requirements.</w:t>
      </w:r>
    </w:p>
    <w:p>
      <w:pPr>
        <w:pStyle w:val="ListBullet"/>
        <w:spacing w:after="50"/>
        <w:ind w:left="720" w:hanging="360"/>
      </w:pPr>
      <w:r>
        <w:rPr>
          <w:rFonts w:ascii="Calibri" w:hAnsi="Calibri" w:eastAsia="Calibri"/>
          <w:b/>
          <w:color w:val="17202A"/>
          <w:sz w:val="19"/>
        </w:rPr>
        <w:t xml:space="preserve">Claims and continuity. </w:t>
      </w:r>
      <w:r>
        <w:rPr>
          <w:rFonts w:ascii="Calibri" w:hAnsi="Calibri" w:eastAsia="Calibri"/>
          <w:color w:val="17202A"/>
          <w:sz w:val="19"/>
        </w:rPr>
        <w:t>Confirm premium payment, broker/carrier contacts, notice procedures, evidence custody and completion-bond coordination.</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Production insurance protects against defined insured events that could consume budget or impair delivery; it does not guarantee repayment. MediaHedge's task is to map each exposure to the correct policy, verify actual endorsements and exclusions, keep coverage effective and control the use of proceeds. The insurance stack complements - but never replaces - full financing, completion protection and collateral underwriting.</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Film-Production Insurance Stack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Film-Production Insurance Stack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Film-Production Insurance Stack</dc:title>
  <dc:subject>How casualty, liability and specialty policies complement completion and credit protection</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