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eastAsia="Calibri"/>
          <w:b/>
          <w:color w:val="2E6E9E"/>
          <w:sz w:val="17"/>
        </w:rPr>
        <w:t>FORWARD-FLOW PARTNERSHIPS, EXPLAINED</w:t>
      </w:r>
    </w:p>
    <w:p>
      <w:pPr>
        <w:spacing w:after="40"/>
      </w:pPr>
      <w:r>
        <w:rPr>
          <w:rFonts w:ascii="Calibri" w:hAnsi="Calibri" w:eastAsia="Calibri"/>
          <w:b/>
          <w:color w:val="17324D"/>
          <w:sz w:val="47"/>
        </w:rPr>
        <w:t>Forward-Flow Partnerships and Financier Governance</w:t>
      </w:r>
    </w:p>
    <w:p>
      <w:pPr>
        <w:spacing w:after="160"/>
      </w:pPr>
      <w:r>
        <w:rPr>
          <w:rFonts w:ascii="Calibri" w:hAnsi="Calibri" w:eastAsia="Calibri"/>
          <w:i/>
          <w:color w:val="65727E"/>
          <w:sz w:val="23"/>
        </w:rPr>
        <w:t>How capital deployment, ownership, servicing and decision rights are allocated at scale</w:t>
      </w:r>
    </w:p>
    <w:p>
      <w:pPr>
        <w:spacing w:before="40" w:after="140" w:line="254" w:lineRule="auto"/>
        <w:ind w:left="230" w:right="173"/>
        <w:shd w:fill="EAF2F8"/>
        <w:pBdr>
          <w:left w:val="single" w:sz="18" w:space="8" w:color="2E6E9E"/>
        </w:pBdr>
      </w:pPr>
      <w:r>
        <w:rPr>
          <w:rFonts w:ascii="Calibri" w:hAnsi="Calibri" w:eastAsia="Calibri"/>
          <w:b/>
          <w:color w:val="17324D"/>
          <w:sz w:val="19"/>
        </w:rPr>
        <w:t xml:space="preserve">THE SHORT VERSION  </w:t>
      </w:r>
      <w:r>
        <w:rPr>
          <w:rFonts w:ascii="Calibri" w:hAnsi="Calibri" w:eastAsia="Calibri"/>
          <w:color w:val="17202A"/>
          <w:sz w:val="19"/>
        </w:rPr>
        <w:t>In a forward-flow relationship, MediaHedge originates, underwrites and services loans that meet an agreed investment policy, while a financing partner purchases or funds eligible assets under defined mechanics. Capital generally does not need to pass through MediaHedge's balance sheet. The agreement must distinguish asset eligibility, funding obligations, purchase and ownership, representations, servicing, exceptions, repurchase, governance and enforcement.</w:t>
      </w:r>
    </w:p>
    <w:p>
      <w:pPr>
        <w:pStyle w:val="Heading1"/>
        <w:spacing w:before="100" w:after="60"/>
      </w:pPr>
      <w:r>
        <w:rPr>
          <w:rFonts w:ascii="Calibri" w:hAnsi="Calibri" w:eastAsia="Calibri"/>
          <w:b/>
          <w:color w:val="17324D"/>
          <w:sz w:val="30"/>
        </w:rPr>
        <w:t>Why governance matters as much as origination</w:t>
      </w:r>
    </w:p>
    <w:p>
      <w:pPr>
        <w:spacing w:after="80"/>
      </w:pPr>
      <w:r>
        <w:rPr>
          <w:rFonts w:ascii="Calibri" w:hAnsi="Calibri" w:eastAsia="Calibri"/>
          <w:i w:val="0"/>
          <w:color w:val="17202A"/>
          <w:sz w:val="20"/>
        </w:rPr>
        <w:t>A scalable partnership must allow routine eligible loans to close efficiently without surrendering investor control over material risk. Ambiguous buy-box terms can create adverse selection, funding disputes or inconsistent exceptions. Ambiguous ownership and agency terms can impair collateral rights or cash segregation. The solution is a governance system that automates ordinary decisions, escalates exceptions and preserves data, audit and replacement rights throughout the asset lifecycle.</w:t>
      </w:r>
    </w:p>
    <w:p>
      <w:pPr>
        <w:pStyle w:val="Heading1"/>
        <w:spacing w:before="100" w:after="60"/>
      </w:pPr>
      <w:r>
        <w:rPr>
          <w:rFonts w:ascii="Calibri" w:hAnsi="Calibri" w:eastAsia="Calibri"/>
          <w:b/>
          <w:color w:val="17324D"/>
          <w:sz w:val="30"/>
        </w:rPr>
        <w:t>The five-part partnership architecture</w:t>
      </w:r>
    </w:p>
    <w:p>
      <w:pPr>
        <w:pStyle w:val="ListNumber"/>
        <w:spacing w:after="60"/>
        <w:ind w:left="691" w:hanging="331"/>
      </w:pPr>
      <w:r>
        <w:rPr>
          <w:rFonts w:ascii="Calibri" w:hAnsi="Calibri" w:eastAsia="Calibri"/>
          <w:b/>
          <w:color w:val="17324D"/>
          <w:sz w:val="19"/>
        </w:rPr>
        <w:t xml:space="preserve">Investment policy and allocation. </w:t>
      </w:r>
      <w:r>
        <w:rPr>
          <w:rFonts w:ascii="Calibri" w:hAnsi="Calibri" w:eastAsia="Calibri"/>
          <w:color w:val="17202A"/>
          <w:sz w:val="19"/>
        </w:rPr>
        <w:t>The buy-box defines eligible borrowers, collateral, sizing, pricing, concentration, term and exclusions.</w:t>
      </w:r>
    </w:p>
    <w:p>
      <w:pPr>
        <w:pStyle w:val="ListNumber"/>
        <w:spacing w:after="60"/>
        <w:ind w:left="691" w:hanging="331"/>
      </w:pPr>
      <w:r>
        <w:rPr>
          <w:rFonts w:ascii="Calibri" w:hAnsi="Calibri" w:eastAsia="Calibri"/>
          <w:b/>
          <w:color w:val="17324D"/>
          <w:sz w:val="19"/>
        </w:rPr>
        <w:t xml:space="preserve">Purchase and funding mechanics. </w:t>
      </w:r>
      <w:r>
        <w:rPr>
          <w:rFonts w:ascii="Calibri" w:hAnsi="Calibri" w:eastAsia="Calibri"/>
          <w:color w:val="17202A"/>
          <w:sz w:val="19"/>
        </w:rPr>
        <w:t>The documents specify commitment, approval, purchase price, settlement, title transfer and failed-purchase consequences.</w:t>
      </w:r>
    </w:p>
    <w:p>
      <w:pPr>
        <w:pStyle w:val="ListNumber"/>
        <w:spacing w:after="60"/>
        <w:ind w:left="691" w:hanging="331"/>
      </w:pPr>
      <w:r>
        <w:rPr>
          <w:rFonts w:ascii="Calibri" w:hAnsi="Calibri" w:eastAsia="Calibri"/>
          <w:b/>
          <w:color w:val="17324D"/>
          <w:sz w:val="19"/>
        </w:rPr>
        <w:t xml:space="preserve">Representations and remedies. </w:t>
      </w:r>
      <w:r>
        <w:rPr>
          <w:rFonts w:ascii="Calibri" w:hAnsi="Calibri" w:eastAsia="Calibri"/>
          <w:color w:val="17202A"/>
          <w:sz w:val="19"/>
        </w:rPr>
        <w:t>Asset-level reps address accuracy, authority, compliance, lien status and eligibility with tailored cure or repurchase.</w:t>
      </w:r>
    </w:p>
    <w:p>
      <w:pPr>
        <w:pStyle w:val="ListNumber"/>
        <w:spacing w:after="60"/>
        <w:ind w:left="691" w:hanging="331"/>
      </w:pPr>
      <w:r>
        <w:rPr>
          <w:rFonts w:ascii="Calibri" w:hAnsi="Calibri" w:eastAsia="Calibri"/>
          <w:b/>
          <w:color w:val="17324D"/>
          <w:sz w:val="19"/>
        </w:rPr>
        <w:t xml:space="preserve">Servicing and reporting. </w:t>
      </w:r>
      <w:r>
        <w:rPr>
          <w:rFonts w:ascii="Calibri" w:hAnsi="Calibri" w:eastAsia="Calibri"/>
          <w:color w:val="17202A"/>
          <w:sz w:val="19"/>
        </w:rPr>
        <w:t>MediaHedge administers draws, monitoring, collections and reporting under measurable service standards.</w:t>
      </w:r>
    </w:p>
    <w:p>
      <w:pPr>
        <w:pStyle w:val="ListNumber"/>
        <w:spacing w:after="60"/>
        <w:ind w:left="691" w:hanging="331"/>
      </w:pPr>
      <w:r>
        <w:rPr>
          <w:rFonts w:ascii="Calibri" w:hAnsi="Calibri" w:eastAsia="Calibri"/>
          <w:b/>
          <w:color w:val="17324D"/>
          <w:sz w:val="19"/>
        </w:rPr>
        <w:t xml:space="preserve">Governance and continuity. </w:t>
      </w:r>
      <w:r>
        <w:rPr>
          <w:rFonts w:ascii="Calibri" w:hAnsi="Calibri" w:eastAsia="Calibri"/>
          <w:color w:val="17202A"/>
          <w:sz w:val="19"/>
        </w:rPr>
        <w:t>Reserved matters, audits, conflicts, backup servicing, termination and portfolio run-off protect the investor.</w:t>
      </w:r>
    </w:p>
    <w:p>
      <w:pPr>
        <w:pStyle w:val="Heading1"/>
        <w:spacing w:before="100" w:after="60"/>
      </w:pPr>
      <w:r>
        <w:rPr>
          <w:rFonts w:ascii="Calibri" w:hAnsi="Calibri" w:eastAsia="Calibri"/>
          <w:b/>
          <w:color w:val="17324D"/>
          <w:sz w:val="30"/>
        </w:rPr>
        <w:t>How an eligible asset enters the facility</w:t>
      </w:r>
    </w:p>
    <w:p>
      <w:pPr>
        <w:spacing w:after="80"/>
      </w:pPr>
      <w:r>
        <w:rPr>
          <w:rFonts w:ascii="Calibri" w:hAnsi="Calibri" w:eastAsia="Calibri"/>
          <w:i w:val="0"/>
          <w:color w:val="17202A"/>
          <w:sz w:val="20"/>
        </w:rPr>
        <w:t>MediaHedge submits a standardized underwriting package and eligibility certificate. The financing partner or delegated process confirms buy-box compliance and any required approvals. At settlement, funding or purchase-price mechanics transfer the agreed economic interest and establish collateral-agent and account rights. Post-close data feed portfolio and concentration tests. Exceptions, amendments and waivers follow reserved-matter rules. A breach of a representation receives the contractually specified cure, indemnity or repurchase remedy; ordinary borrower credit deterioration should not become automatic MediaHedge recourse unless expressly agreed and priced.</w:t>
      </w:r>
    </w:p>
    <w:p>
      <w:pPr>
        <w:pStyle w:val="Heading1"/>
        <w:spacing w:before="0" w:after="80"/>
      </w:pPr>
      <w:r>
        <w:rPr>
          <w:rFonts w:ascii="Calibri" w:hAnsi="Calibri" w:eastAsia="Calibri"/>
          <w:b/>
          <w:color w:val="17324D"/>
          <w:sz w:val="30"/>
        </w:rPr>
        <w:t>Where the financing partner retains authority</w:t>
      </w:r>
    </w:p>
    <w:p>
      <w:pPr>
        <w:spacing w:after="80"/>
      </w:pPr>
      <w:r>
        <w:rPr>
          <w:rFonts w:ascii="Calibri" w:hAnsi="Calibri" w:eastAsia="Calibri"/>
          <w:i w:val="0"/>
          <w:color w:val="17202A"/>
          <w:sz w:val="20"/>
        </w:rPr>
        <w:t>The investor should control changes that materially alter risk: eligibility exceptions, concentration breaches, principal compromises, extensions, collateral releases, enforcement, servicer conflicts and amendments to payment control. MediaHedge needs delegated authority for ordinary-course servicing within the documents. Reporting, audit, document custody and data-use rights should be broad enough to verify compliance and transfer servicing, but limited by confidentiality and applicable law.</w:t>
      </w:r>
    </w:p>
    <w:p>
      <w:pPr>
        <w:sectPr>
          <w:headerReference w:type="default" r:id="rId9"/>
          <w:footerReference w:type="default" r:id="rId10"/>
          <w:pgSz w:w="12240" w:h="15840"/>
          <w:pgMar w:top="1123" w:right="1267" w:bottom="1037" w:left="1267" w:header="490" w:footer="490" w:gutter="0"/>
          <w:cols w:space="720"/>
          <w:docGrid w:linePitch="360"/>
        </w:sectPr>
      </w:pPr>
    </w:p>
    <w:p>
      <w:pPr>
        <w:pStyle w:val="Heading1"/>
        <w:spacing w:before="0" w:after="80"/>
      </w:pPr>
      <w:r>
        <w:rPr>
          <w:rFonts w:ascii="Calibri" w:hAnsi="Calibri" w:eastAsia="Calibri"/>
          <w:b/>
          <w:color w:val="17324D"/>
          <w:sz w:val="30"/>
        </w:rPr>
        <w:t>Governance map, benefits and diligence</w:t>
      </w:r>
    </w:p>
    <w:p>
      <w:pPr>
        <w:pStyle w:val="Heading2"/>
        <w:spacing w:before="80" w:after="80"/>
      </w:pPr>
      <w:r>
        <w:rPr>
          <w:rFonts w:ascii="Calibri" w:hAnsi="Calibri" w:eastAsia="Calibri"/>
          <w:b/>
          <w:color w:val="2E6E9E"/>
          <w:sz w:val="24"/>
        </w:rPr>
        <w:t>Allocate routine execution and reserved decisions explicitly</w:t>
      </w:r>
    </w:p>
    <w:tbl>
      <w:tblPr>
        <w:tblStyle w:val="TableGrid"/>
        <w:tblW w:type="dxa" w:w="9360"/>
        <w:jc w:val="left"/>
        <w:tblLayout w:type="fixed"/>
        <w:tblLook w:firstColumn="1" w:firstRow="1" w:lastColumn="0" w:lastRow="0" w:noHBand="0" w:noVBand="1" w:val="04A0"/>
        <w:tblInd w:w="120" w:type="dxa"/>
      </w:tblPr>
      <w:tblGrid>
        <w:gridCol w:w="2550"/>
        <w:gridCol w:w="2550"/>
        <w:gridCol w:w="4260"/>
      </w:tblGrid>
      <w:tr>
        <w:trPr>
          <w:tblHeader w:val="true"/>
        </w:trPr>
        <w:tc>
          <w:tcPr>
            <w:tcW w:type="dxa" w:w="2550"/>
            <w:vAlign w:val="center"/>
            <w:tcMar>
              <w:top w:w="90" w:type="dxa"/>
              <w:start w:w="120" w:type="dxa"/>
              <w:bottom w:w="90" w:type="dxa"/>
              <w:end w:w="120" w:type="dxa"/>
            </w:tcMar>
            <w:shd w:fill="17324D"/>
          </w:tcPr>
          <w:p>
            <w:pPr>
              <w:spacing w:before="0" w:after="0" w:line="240" w:lineRule="auto"/>
            </w:pPr>
            <w:r>
              <w:rPr>
                <w:rFonts w:ascii="Calibri" w:hAnsi="Calibri" w:eastAsia="Calibri"/>
                <w:b/>
                <w:color w:val="FFFFFF"/>
                <w:sz w:val="17"/>
              </w:rPr>
              <w:t>Domain</w:t>
            </w:r>
          </w:p>
        </w:tc>
        <w:tc>
          <w:tcPr>
            <w:tcW w:type="dxa" w:w="2550"/>
            <w:vAlign w:val="center"/>
            <w:tcMar>
              <w:top w:w="90" w:type="dxa"/>
              <w:start w:w="120" w:type="dxa"/>
              <w:bottom w:w="90" w:type="dxa"/>
              <w:end w:w="120" w:type="dxa"/>
            </w:tcMar>
            <w:shd w:fill="17324D"/>
          </w:tcPr>
          <w:p>
            <w:pPr>
              <w:spacing w:before="0" w:after="0" w:line="240" w:lineRule="auto"/>
            </w:pPr>
            <w:r>
              <w:rPr>
                <w:rFonts w:ascii="Calibri" w:hAnsi="Calibri" w:eastAsia="Calibri"/>
                <w:b/>
                <w:color w:val="FFFFFF"/>
                <w:sz w:val="17"/>
              </w:rPr>
              <w:t>Financier's question</w:t>
            </w:r>
          </w:p>
        </w:tc>
        <w:tc>
          <w:tcPr>
            <w:tcW w:type="dxa" w:w="4260"/>
            <w:vAlign w:val="center"/>
            <w:tcMar>
              <w:top w:w="90" w:type="dxa"/>
              <w:start w:w="120" w:type="dxa"/>
              <w:bottom w:w="90" w:type="dxa"/>
              <w:end w:w="120" w:type="dxa"/>
            </w:tcMar>
            <w:shd w:fill="17324D"/>
          </w:tcPr>
          <w:p>
            <w:pPr>
              <w:spacing w:before="0" w:after="0" w:line="240" w:lineRule="auto"/>
            </w:pPr>
            <w:r>
              <w:rPr>
                <w:rFonts w:ascii="Calibri" w:hAnsi="Calibri" w:eastAsia="Calibri"/>
                <w:b/>
                <w:color w:val="FFFFFF"/>
                <w:sz w:val="17"/>
              </w:rPr>
              <w:t>Required governance</w:t>
            </w:r>
          </w:p>
        </w:tc>
      </w:tr>
      <w:tr>
        <w:tc>
          <w:tcPr>
            <w:tcW w:type="dxa" w:w="2550"/>
            <w:vAlign w:val="center"/>
            <w:tcMar>
              <w:top w:w="90" w:type="dxa"/>
              <w:start w:w="120" w:type="dxa"/>
              <w:bottom w:w="90" w:type="dxa"/>
              <w:end w:w="120" w:type="dxa"/>
            </w:tcMar>
            <w:shd w:fill="FFFFFF"/>
          </w:tcPr>
          <w:p>
            <w:pPr>
              <w:spacing w:before="0" w:after="0" w:line="240" w:lineRule="auto"/>
            </w:pPr>
            <w:r>
              <w:rPr>
                <w:rFonts w:ascii="Calibri" w:hAnsi="Calibri" w:eastAsia="Calibri"/>
                <w:b w:val="0"/>
                <w:color w:val="17202A"/>
                <w:sz w:val="16"/>
              </w:rPr>
              <w:t>Eligibility/funding</w:t>
            </w:r>
          </w:p>
        </w:tc>
        <w:tc>
          <w:tcPr>
            <w:tcW w:type="dxa" w:w="2550"/>
            <w:vAlign w:val="center"/>
            <w:tcMar>
              <w:top w:w="90" w:type="dxa"/>
              <w:start w:w="120" w:type="dxa"/>
              <w:bottom w:w="90" w:type="dxa"/>
              <w:end w:w="120" w:type="dxa"/>
            </w:tcMar>
            <w:shd w:fill="FFFFFF"/>
          </w:tcPr>
          <w:p>
            <w:pPr>
              <w:spacing w:before="0" w:after="0" w:line="240" w:lineRule="auto"/>
            </w:pPr>
            <w:r>
              <w:rPr>
                <w:rFonts w:ascii="Calibri" w:hAnsi="Calibri" w:eastAsia="Calibri"/>
                <w:b w:val="0"/>
                <w:color w:val="17202A"/>
                <w:sz w:val="16"/>
              </w:rPr>
              <w:t>When is capital obligated to purchase?</w:t>
            </w:r>
          </w:p>
        </w:tc>
        <w:tc>
          <w:tcPr>
            <w:tcW w:type="dxa" w:w="4260"/>
            <w:vAlign w:val="center"/>
            <w:tcMar>
              <w:top w:w="90" w:type="dxa"/>
              <w:start w:w="120" w:type="dxa"/>
              <w:bottom w:w="90" w:type="dxa"/>
              <w:end w:w="120" w:type="dxa"/>
            </w:tcMar>
            <w:shd w:fill="FFFFFF"/>
          </w:tcPr>
          <w:p>
            <w:pPr>
              <w:spacing w:before="0" w:after="0" w:line="240" w:lineRule="auto"/>
            </w:pPr>
            <w:r>
              <w:rPr>
                <w:rFonts w:ascii="Calibri" w:hAnsi="Calibri" w:eastAsia="Calibri"/>
                <w:b w:val="0"/>
                <w:color w:val="17202A"/>
                <w:sz w:val="16"/>
              </w:rPr>
              <w:t>Objective buy-box, certificate, approval SLA and settlement rules.</w:t>
            </w:r>
          </w:p>
        </w:tc>
      </w:tr>
      <w:tr>
        <w:tc>
          <w:tcPr>
            <w:tcW w:type="dxa" w:w="2550"/>
            <w:vAlign w:val="center"/>
            <w:tcMar>
              <w:top w:w="90" w:type="dxa"/>
              <w:start w:w="120" w:type="dxa"/>
              <w:bottom w:w="90" w:type="dxa"/>
              <w:end w:w="120" w:type="dxa"/>
            </w:tcMar>
            <w:shd w:fill="F3F5F7"/>
          </w:tcPr>
          <w:p>
            <w:pPr>
              <w:spacing w:before="0" w:after="0" w:line="240" w:lineRule="auto"/>
            </w:pPr>
            <w:r>
              <w:rPr>
                <w:rFonts w:ascii="Calibri" w:hAnsi="Calibri" w:eastAsia="Calibri"/>
                <w:b w:val="0"/>
                <w:color w:val="17202A"/>
                <w:sz w:val="16"/>
              </w:rPr>
              <w:t>Ownership/security</w:t>
            </w:r>
          </w:p>
        </w:tc>
        <w:tc>
          <w:tcPr>
            <w:tcW w:type="dxa" w:w="2550"/>
            <w:vAlign w:val="center"/>
            <w:tcMar>
              <w:top w:w="90" w:type="dxa"/>
              <w:start w:w="120" w:type="dxa"/>
              <w:bottom w:w="90" w:type="dxa"/>
              <w:end w:w="120" w:type="dxa"/>
            </w:tcMar>
            <w:shd w:fill="F3F5F7"/>
          </w:tcPr>
          <w:p>
            <w:pPr>
              <w:spacing w:before="0" w:after="0" w:line="240" w:lineRule="auto"/>
            </w:pPr>
            <w:r>
              <w:rPr>
                <w:rFonts w:ascii="Calibri" w:hAnsi="Calibri" w:eastAsia="Calibri"/>
                <w:b w:val="0"/>
                <w:color w:val="17202A"/>
                <w:sz w:val="16"/>
              </w:rPr>
              <w:t>Who owns the asset and controls collateral?</w:t>
            </w:r>
          </w:p>
        </w:tc>
        <w:tc>
          <w:tcPr>
            <w:tcW w:type="dxa" w:w="4260"/>
            <w:vAlign w:val="center"/>
            <w:tcMar>
              <w:top w:w="90" w:type="dxa"/>
              <w:start w:w="120" w:type="dxa"/>
              <w:bottom w:w="90" w:type="dxa"/>
              <w:end w:w="120" w:type="dxa"/>
            </w:tcMar>
            <w:shd w:fill="F3F5F7"/>
          </w:tcPr>
          <w:p>
            <w:pPr>
              <w:spacing w:before="0" w:after="0" w:line="240" w:lineRule="auto"/>
            </w:pPr>
            <w:r>
              <w:rPr>
                <w:rFonts w:ascii="Calibri" w:hAnsi="Calibri" w:eastAsia="Calibri"/>
                <w:b w:val="0"/>
                <w:color w:val="17202A"/>
                <w:sz w:val="16"/>
              </w:rPr>
              <w:t>Transfer, agency, perfection, custody and segregated cash terms.</w:t>
            </w:r>
          </w:p>
        </w:tc>
      </w:tr>
      <w:tr>
        <w:tc>
          <w:tcPr>
            <w:tcW w:type="dxa" w:w="2550"/>
            <w:vAlign w:val="center"/>
            <w:tcMar>
              <w:top w:w="90" w:type="dxa"/>
              <w:start w:w="120" w:type="dxa"/>
              <w:bottom w:w="90" w:type="dxa"/>
              <w:end w:w="120" w:type="dxa"/>
            </w:tcMar>
            <w:shd w:fill="FFFFFF"/>
          </w:tcPr>
          <w:p>
            <w:pPr>
              <w:spacing w:before="0" w:after="0" w:line="240" w:lineRule="auto"/>
            </w:pPr>
            <w:r>
              <w:rPr>
                <w:rFonts w:ascii="Calibri" w:hAnsi="Calibri" w:eastAsia="Calibri"/>
                <w:b w:val="0"/>
                <w:color w:val="17202A"/>
                <w:sz w:val="16"/>
              </w:rPr>
              <w:t>Servicing</w:t>
            </w:r>
          </w:p>
        </w:tc>
        <w:tc>
          <w:tcPr>
            <w:tcW w:type="dxa" w:w="2550"/>
            <w:vAlign w:val="center"/>
            <w:tcMar>
              <w:top w:w="90" w:type="dxa"/>
              <w:start w:w="120" w:type="dxa"/>
              <w:bottom w:w="90" w:type="dxa"/>
              <w:end w:w="120" w:type="dxa"/>
            </w:tcMar>
            <w:shd w:fill="FFFFFF"/>
          </w:tcPr>
          <w:p>
            <w:pPr>
              <w:spacing w:before="0" w:after="0" w:line="240" w:lineRule="auto"/>
            </w:pPr>
            <w:r>
              <w:rPr>
                <w:rFonts w:ascii="Calibri" w:hAnsi="Calibri" w:eastAsia="Calibri"/>
                <w:b w:val="0"/>
                <w:color w:val="17202A"/>
                <w:sz w:val="16"/>
              </w:rPr>
              <w:t>What may MediaHedge do without consent?</w:t>
            </w:r>
          </w:p>
        </w:tc>
        <w:tc>
          <w:tcPr>
            <w:tcW w:type="dxa" w:w="4260"/>
            <w:vAlign w:val="center"/>
            <w:tcMar>
              <w:top w:w="90" w:type="dxa"/>
              <w:start w:w="120" w:type="dxa"/>
              <w:bottom w:w="90" w:type="dxa"/>
              <w:end w:w="120" w:type="dxa"/>
            </w:tcMar>
            <w:shd w:fill="FFFFFF"/>
          </w:tcPr>
          <w:p>
            <w:pPr>
              <w:spacing w:before="0" w:after="0" w:line="240" w:lineRule="auto"/>
            </w:pPr>
            <w:r>
              <w:rPr>
                <w:rFonts w:ascii="Calibri" w:hAnsi="Calibri" w:eastAsia="Calibri"/>
                <w:b w:val="0"/>
                <w:color w:val="17202A"/>
                <w:sz w:val="16"/>
              </w:rPr>
              <w:t>Delegated authority, standards, reporting and audit rights.</w:t>
            </w:r>
          </w:p>
        </w:tc>
      </w:tr>
      <w:tr>
        <w:tc>
          <w:tcPr>
            <w:tcW w:type="dxa" w:w="2550"/>
            <w:vAlign w:val="center"/>
            <w:tcMar>
              <w:top w:w="90" w:type="dxa"/>
              <w:start w:w="120" w:type="dxa"/>
              <w:bottom w:w="90" w:type="dxa"/>
              <w:end w:w="120" w:type="dxa"/>
            </w:tcMar>
            <w:shd w:fill="F3F5F7"/>
          </w:tcPr>
          <w:p>
            <w:pPr>
              <w:spacing w:before="0" w:after="0" w:line="240" w:lineRule="auto"/>
            </w:pPr>
            <w:r>
              <w:rPr>
                <w:rFonts w:ascii="Calibri" w:hAnsi="Calibri" w:eastAsia="Calibri"/>
                <w:b w:val="0"/>
                <w:color w:val="17202A"/>
                <w:sz w:val="16"/>
              </w:rPr>
              <w:t>Stress/termination</w:t>
            </w:r>
          </w:p>
        </w:tc>
        <w:tc>
          <w:tcPr>
            <w:tcW w:type="dxa" w:w="2550"/>
            <w:vAlign w:val="center"/>
            <w:tcMar>
              <w:top w:w="90" w:type="dxa"/>
              <w:start w:w="120" w:type="dxa"/>
              <w:bottom w:w="90" w:type="dxa"/>
              <w:end w:w="120" w:type="dxa"/>
            </w:tcMar>
            <w:shd w:fill="F3F5F7"/>
          </w:tcPr>
          <w:p>
            <w:pPr>
              <w:spacing w:before="0" w:after="0" w:line="240" w:lineRule="auto"/>
            </w:pPr>
            <w:r>
              <w:rPr>
                <w:rFonts w:ascii="Calibri" w:hAnsi="Calibri" w:eastAsia="Calibri"/>
                <w:b w:val="0"/>
                <w:color w:val="17202A"/>
                <w:sz w:val="16"/>
              </w:rPr>
              <w:t>Who decides and who operates after removal?</w:t>
            </w:r>
          </w:p>
        </w:tc>
        <w:tc>
          <w:tcPr>
            <w:tcW w:type="dxa" w:w="4260"/>
            <w:vAlign w:val="center"/>
            <w:tcMar>
              <w:top w:w="90" w:type="dxa"/>
              <w:start w:w="120" w:type="dxa"/>
              <w:bottom w:w="90" w:type="dxa"/>
              <w:end w:w="120" w:type="dxa"/>
            </w:tcMar>
            <w:shd w:fill="F3F5F7"/>
          </w:tcPr>
          <w:p>
            <w:pPr>
              <w:spacing w:before="0" w:after="0" w:line="240" w:lineRule="auto"/>
            </w:pPr>
            <w:r>
              <w:rPr>
                <w:rFonts w:ascii="Calibri" w:hAnsi="Calibri" w:eastAsia="Calibri"/>
                <w:b w:val="0"/>
                <w:color w:val="17202A"/>
                <w:sz w:val="16"/>
              </w:rPr>
              <w:t>Reserved matters, replacement servicing, run-off and recovery rules.</w:t>
            </w:r>
          </w:p>
        </w:tc>
      </w:tr>
    </w:tbl>
    <w:p>
      <w:pPr>
        <w:pStyle w:val="Heading2"/>
        <w:spacing w:before="140" w:after="60"/>
      </w:pPr>
      <w:r>
        <w:rPr>
          <w:rFonts w:ascii="Calibri" w:hAnsi="Calibri" w:eastAsia="Calibri"/>
          <w:b/>
          <w:color w:val="2E6E9E"/>
          <w:sz w:val="24"/>
        </w:rPr>
        <w:t>Key benefits to a financier</w:t>
      </w:r>
    </w:p>
    <w:p>
      <w:pPr>
        <w:pStyle w:val="ListBullet"/>
        <w:spacing w:after="50"/>
        <w:ind w:left="720" w:hanging="360"/>
      </w:pPr>
      <w:r>
        <w:rPr>
          <w:rFonts w:ascii="Calibri" w:hAnsi="Calibri" w:eastAsia="Calibri"/>
          <w:b/>
          <w:color w:val="17202A"/>
          <w:sz w:val="19"/>
        </w:rPr>
        <w:t xml:space="preserve">Scalable deployment. </w:t>
      </w:r>
      <w:r>
        <w:rPr>
          <w:rFonts w:ascii="Calibri" w:hAnsi="Calibri" w:eastAsia="Calibri"/>
          <w:color w:val="17202A"/>
          <w:sz w:val="19"/>
        </w:rPr>
        <w:t>A defined buy-box converts repeat underwriting into consistent asset acquisition.</w:t>
      </w:r>
    </w:p>
    <w:p>
      <w:pPr>
        <w:pStyle w:val="ListBullet"/>
        <w:spacing w:after="50"/>
        <w:ind w:left="720" w:hanging="360"/>
      </w:pPr>
      <w:r>
        <w:rPr>
          <w:rFonts w:ascii="Calibri" w:hAnsi="Calibri" w:eastAsia="Calibri"/>
          <w:b/>
          <w:color w:val="17202A"/>
          <w:sz w:val="19"/>
        </w:rPr>
        <w:t xml:space="preserve">Specialized origination and servicing. </w:t>
      </w:r>
      <w:r>
        <w:rPr>
          <w:rFonts w:ascii="Calibri" w:hAnsi="Calibri" w:eastAsia="Calibri"/>
          <w:color w:val="17202A"/>
          <w:sz w:val="19"/>
        </w:rPr>
        <w:t>MediaHedge supplies sector sourcing, diligence and lifecycle administration.</w:t>
      </w:r>
    </w:p>
    <w:p>
      <w:pPr>
        <w:pStyle w:val="ListBullet"/>
        <w:spacing w:after="50"/>
        <w:ind w:left="720" w:hanging="360"/>
      </w:pPr>
      <w:r>
        <w:rPr>
          <w:rFonts w:ascii="Calibri" w:hAnsi="Calibri" w:eastAsia="Calibri"/>
          <w:b/>
          <w:color w:val="17202A"/>
          <w:sz w:val="19"/>
        </w:rPr>
        <w:t xml:space="preserve">Direct asset economics. </w:t>
      </w:r>
      <w:r>
        <w:rPr>
          <w:rFonts w:ascii="Calibri" w:hAnsi="Calibri" w:eastAsia="Calibri"/>
          <w:color w:val="17202A"/>
          <w:sz w:val="19"/>
        </w:rPr>
        <w:t>Forward-flow ownership can provide exposure to loan cash flows without operating the originator.</w:t>
      </w:r>
    </w:p>
    <w:p>
      <w:pPr>
        <w:pStyle w:val="ListBullet"/>
        <w:spacing w:after="50"/>
        <w:ind w:left="720" w:hanging="360"/>
      </w:pPr>
      <w:r>
        <w:rPr>
          <w:rFonts w:ascii="Calibri" w:hAnsi="Calibri" w:eastAsia="Calibri"/>
          <w:b/>
          <w:color w:val="17202A"/>
          <w:sz w:val="19"/>
        </w:rPr>
        <w:t xml:space="preserve">Transparent control. </w:t>
      </w:r>
      <w:r>
        <w:rPr>
          <w:rFonts w:ascii="Calibri" w:hAnsi="Calibri" w:eastAsia="Calibri"/>
          <w:color w:val="17202A"/>
          <w:sz w:val="19"/>
        </w:rPr>
        <w:t>Reserved matters and exception reporting preserve investor authority over material changes.</w:t>
      </w:r>
    </w:p>
    <w:p>
      <w:pPr>
        <w:pStyle w:val="ListBullet"/>
        <w:spacing w:after="50"/>
        <w:ind w:left="720" w:hanging="360"/>
      </w:pPr>
      <w:r>
        <w:rPr>
          <w:rFonts w:ascii="Calibri" w:hAnsi="Calibri" w:eastAsia="Calibri"/>
          <w:b/>
          <w:color w:val="17202A"/>
          <w:sz w:val="19"/>
        </w:rPr>
        <w:t xml:space="preserve">Operational resilience. </w:t>
      </w:r>
      <w:r>
        <w:rPr>
          <w:rFonts w:ascii="Calibri" w:hAnsi="Calibri" w:eastAsia="Calibri"/>
          <w:color w:val="17202A"/>
          <w:sz w:val="19"/>
        </w:rPr>
        <w:t>Custody, data portability and replacement rights support continuity beyond the servicer.</w:t>
      </w:r>
    </w:p>
    <w:p>
      <w:pPr>
        <w:pStyle w:val="Heading2"/>
        <w:spacing w:before="120" w:after="60"/>
      </w:pPr>
      <w:r>
        <w:rPr>
          <w:rFonts w:ascii="Calibri" w:hAnsi="Calibri" w:eastAsia="Calibri"/>
          <w:b/>
          <w:color w:val="2E6E9E"/>
          <w:sz w:val="24"/>
        </w:rPr>
        <w:t>Important limits and common risk traps</w:t>
      </w:r>
    </w:p>
    <w:p>
      <w:pPr>
        <w:spacing w:after="80"/>
      </w:pPr>
      <w:r>
        <w:rPr>
          <w:rFonts w:ascii="Calibri" w:hAnsi="Calibri" w:eastAsia="Calibri"/>
          <w:i w:val="0"/>
          <w:color w:val="17202A"/>
          <w:sz w:val="20"/>
        </w:rPr>
        <w:t>A commitment can become economically optional if eligibility is subjective or approvals lack deadlines. Conversely, overly rigid criteria can strand otherwise sound assets and reduce deployment. True-sale, participation, lending, agency and risk-retention consequences differ and require counsel. Broad repurchase obligations can transform an asset purchaser into recourse financing; narrow remedies may leave investors exposed to origination defects. Concentration tests, fee conflicts, pipeline allocation, borrower confidentiality, cyber risk and servicer termination economics require explicit treatment.</w:t>
      </w:r>
    </w:p>
    <w:p>
      <w:pPr>
        <w:pStyle w:val="Heading2"/>
        <w:spacing w:before="100" w:after="60"/>
      </w:pPr>
      <w:r>
        <w:rPr>
          <w:rFonts w:ascii="Calibri" w:hAnsi="Calibri" w:eastAsia="Calibri"/>
          <w:b/>
          <w:color w:val="2E6E9E"/>
          <w:sz w:val="24"/>
        </w:rPr>
        <w:t>What MediaHedge and the partner define upfront</w:t>
      </w:r>
    </w:p>
    <w:p>
      <w:pPr>
        <w:pStyle w:val="ListBullet"/>
        <w:spacing w:after="50"/>
        <w:ind w:left="720" w:hanging="360"/>
      </w:pPr>
      <w:r>
        <w:rPr>
          <w:rFonts w:ascii="Calibri" w:hAnsi="Calibri" w:eastAsia="Calibri"/>
          <w:b/>
          <w:color w:val="17202A"/>
          <w:sz w:val="19"/>
        </w:rPr>
        <w:t xml:space="preserve">Buy-box precision. </w:t>
      </w:r>
      <w:r>
        <w:rPr>
          <w:rFonts w:ascii="Calibri" w:hAnsi="Calibri" w:eastAsia="Calibri"/>
          <w:color w:val="17202A"/>
          <w:sz w:val="19"/>
        </w:rPr>
        <w:t>Specify eligibility, calculations, data evidence, exceptions, concentrations and approval timing.</w:t>
      </w:r>
    </w:p>
    <w:p>
      <w:pPr>
        <w:pStyle w:val="ListBullet"/>
        <w:spacing w:after="50"/>
        <w:ind w:left="720" w:hanging="360"/>
      </w:pPr>
      <w:r>
        <w:rPr>
          <w:rFonts w:ascii="Calibri" w:hAnsi="Calibri" w:eastAsia="Calibri"/>
          <w:b/>
          <w:color w:val="17202A"/>
          <w:sz w:val="19"/>
        </w:rPr>
        <w:t xml:space="preserve">Ownership and cash. </w:t>
      </w:r>
      <w:r>
        <w:rPr>
          <w:rFonts w:ascii="Calibri" w:hAnsi="Calibri" w:eastAsia="Calibri"/>
          <w:color w:val="17202A"/>
          <w:sz w:val="19"/>
        </w:rPr>
        <w:t>Confirm purchase, agency, perfection, custody, account control and insolvency treatment.</w:t>
      </w:r>
    </w:p>
    <w:p>
      <w:pPr>
        <w:pStyle w:val="ListBullet"/>
        <w:spacing w:after="50"/>
        <w:ind w:left="720" w:hanging="360"/>
      </w:pPr>
      <w:r>
        <w:rPr>
          <w:rFonts w:ascii="Calibri" w:hAnsi="Calibri" w:eastAsia="Calibri"/>
          <w:b/>
          <w:color w:val="17202A"/>
          <w:sz w:val="19"/>
        </w:rPr>
        <w:t xml:space="preserve">Economics and remedies. </w:t>
      </w:r>
      <w:r>
        <w:rPr>
          <w:rFonts w:ascii="Calibri" w:hAnsi="Calibri" w:eastAsia="Calibri"/>
          <w:color w:val="17202A"/>
          <w:sz w:val="19"/>
        </w:rPr>
        <w:t>Allocate coupon, fees, expenses, breaches, cure, indemnity, repurchase and recoveries.</w:t>
      </w:r>
    </w:p>
    <w:p>
      <w:pPr>
        <w:pStyle w:val="ListBullet"/>
        <w:spacing w:after="50"/>
        <w:ind w:left="720" w:hanging="360"/>
      </w:pPr>
      <w:r>
        <w:rPr>
          <w:rFonts w:ascii="Calibri" w:hAnsi="Calibri" w:eastAsia="Calibri"/>
          <w:b/>
          <w:color w:val="17202A"/>
          <w:sz w:val="19"/>
        </w:rPr>
        <w:t xml:space="preserve">Lifecycle governance. </w:t>
      </w:r>
      <w:r>
        <w:rPr>
          <w:rFonts w:ascii="Calibri" w:hAnsi="Calibri" w:eastAsia="Calibri"/>
          <w:color w:val="17202A"/>
          <w:sz w:val="19"/>
        </w:rPr>
        <w:t>Set reporting, audit, reserved matters, conflicts, replacement, termination and run-off procedures.</w:t>
      </w:r>
    </w:p>
    <w:p>
      <w:pPr>
        <w:spacing w:before="100" w:after="0" w:line="250" w:lineRule="auto"/>
        <w:ind w:left="230" w:right="173"/>
        <w:shd w:fill="EAF2F8"/>
        <w:pBdr>
          <w:left w:val="single" w:sz="18" w:space="8" w:color="2E6E9E"/>
        </w:pBdr>
      </w:pPr>
      <w:r>
        <w:rPr>
          <w:rFonts w:ascii="Calibri" w:hAnsi="Calibri" w:eastAsia="Calibri"/>
          <w:b/>
          <w:color w:val="17324D"/>
          <w:sz w:val="18"/>
        </w:rPr>
        <w:t xml:space="preserve">BOTTOM LINE  </w:t>
      </w:r>
      <w:r>
        <w:rPr>
          <w:rFonts w:ascii="Calibri" w:hAnsi="Calibri" w:eastAsia="Calibri"/>
          <w:color w:val="17202A"/>
          <w:sz w:val="18"/>
        </w:rPr>
        <w:t>A forward-flow partnership scales MediaHedge's underwriting only when asset rules and governance are equally precise. The financier needs objective eligibility, reliable funding and ownership mechanics, auditable servicing, proportionate defect remedies, reserved control over material risk and a credible replacement path. Efficient delegation and disciplined investor governance are complements, not substitutes.</w:t>
      </w:r>
    </w:p>
    <w:sectPr w:rsidR="00FC693F" w:rsidRPr="0006063C" w:rsidSect="00034616">
      <w:headerReference w:type="default" r:id="rId11"/>
      <w:footerReference w:type="default" r:id="rId12"/>
      <w:pgSz w:w="12240" w:h="15840"/>
      <w:pgMar w:top="1123" w:right="1267" w:bottom="1037" w:left="1267" w:header="490"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Calibri" w:hAnsi="Calibri" w:eastAsia="Calibri"/>
        <w:color w:val="65727E"/>
        <w:sz w:val="16"/>
      </w:rPr>
      <w:t>Forward-Flow Partnerships and Financier Governance  |  Page 1 of 2</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Calibri" w:hAnsi="Calibri" w:eastAsia="Calibri"/>
        <w:color w:val="65727E"/>
        <w:sz w:val="16"/>
      </w:rPr>
      <w:t>Forward-Flow Partnerships and Financier Governance  |  Page 2 of 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eastAsia="Calibri"/>
        <w:b/>
        <w:color w:val="65727E"/>
        <w:sz w:val="16"/>
      </w:rPr>
      <w:t>MEDIAHEDGE  |  FINANCIER BRIEF</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eastAsia="Calibri"/>
        <w:b/>
        <w:color w:val="65727E"/>
        <w:sz w:val="16"/>
      </w:rPr>
      <w:t>MEDIAHEDGE  |  FINANCIER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59" w:lineRule="auto"/>
    </w:pPr>
    <w:rPr>
      <w:rFonts w:ascii="Calibri" w:hAnsi="Calibri"/>
      <w:color w:val="1720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Calibri" w:hAnsi="Calibri"/>
      <w:b/>
      <w:bCs/>
      <w:color w:val="17324D"/>
      <w:sz w:val="30"/>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Calibri" w:hAnsi="Calibri"/>
      <w:b/>
      <w:bCs/>
      <w:color w:val="2E6E9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54" w:lineRule="auto"/>
      <w:contextualSpacing/>
    </w:pPr>
    <w:rPr>
      <w:rFonts w:ascii="Calibri" w:hAnsi="Calibri"/>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54" w:lineRule="auto"/>
      <w:contextualSpacing/>
    </w:pPr>
    <w:rPr>
      <w:rFonts w:ascii="Calibri" w:hAnsi="Calibri"/>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Forward-Flow Partnerships and Financier Governance</dc:title>
  <dc:subject>How capital deployment, ownership, servicing and decision rights are allocated at scale</dc:subject>
  <dc:creator>MediaHedge</dc:creator>
  <cp:keywords>MediaHedge, film finance, television finance, private credit, financier brief</cp:keywords>
  <dc:description>generated by python-docx</dc:description>
  <cp:lastModifiedBy/>
  <cp:revision>1</cp:revision>
  <dcterms:created xsi:type="dcterms:W3CDTF">2013-12-23T23:15:00Z</dcterms:created>
  <dcterms:modified xsi:type="dcterms:W3CDTF">2013-12-23T23:15:00Z</dcterms:modified>
  <cp:category/>
</cp:coreProperties>
</file>