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LOAN SIZING, EXPLAINED</w:t>
      </w:r>
    </w:p>
    <w:p>
      <w:pPr>
        <w:spacing w:after="40"/>
      </w:pPr>
      <w:r>
        <w:rPr>
          <w:rFonts w:ascii="Calibri" w:hAnsi="Calibri" w:eastAsia="Calibri"/>
          <w:b/>
          <w:color w:val="17324D"/>
          <w:sz w:val="47"/>
        </w:rPr>
        <w:t>How MediaHedge Sizes a Loan</w:t>
      </w:r>
    </w:p>
    <w:p>
      <w:pPr>
        <w:spacing w:after="160"/>
      </w:pPr>
      <w:r>
        <w:rPr>
          <w:rFonts w:ascii="Calibri" w:hAnsi="Calibri" w:eastAsia="Calibri"/>
          <w:i/>
          <w:color w:val="65727E"/>
          <w:sz w:val="23"/>
        </w:rPr>
        <w:t>How eligible collateral, advance rates and hard portfolio controls determine commitment size</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MediaHedge sizes a loan by applying separate tests to collateral eligibility, asset-specific advance value, aggregate leverage, budget exposure, concentration and tenor. The commitment is the lowest amount permitted by all applicable constraints - not the amount requested and not a leverage target solved by pricing. Current film-policy rails include aggregate LTV at or below 60%, gross loan-to-budget at or below 80% and a term generally no longer than 15 months.</w:t>
      </w:r>
    </w:p>
    <w:p>
      <w:pPr>
        <w:pStyle w:val="Heading1"/>
        <w:spacing w:before="100" w:after="60"/>
      </w:pPr>
      <w:r>
        <w:rPr>
          <w:rFonts w:ascii="Calibri" w:hAnsi="Calibri" w:eastAsia="Calibri"/>
          <w:b/>
          <w:color w:val="17324D"/>
          <w:sz w:val="30"/>
        </w:rPr>
        <w:t>Why headline collateral is not the borrowing base</w:t>
      </w:r>
    </w:p>
    <w:p>
      <w:pPr>
        <w:spacing w:after="80"/>
      </w:pPr>
      <w:r>
        <w:rPr>
          <w:rFonts w:ascii="Calibri" w:hAnsi="Calibri" w:eastAsia="Calibri"/>
          <w:i w:val="0"/>
          <w:color w:val="17202A"/>
          <w:sz w:val="20"/>
        </w:rPr>
        <w:t>Contract face values, tax-credit estimates and sales estimates can include conditions, deductions, timing mismatches, currency risk, unsupported assumptions or values that overlap. Underwriting first converts each source into eligible net collateral. Asset-specific advance rates then recognize different certainty and volatility. Transaction-level caps prevent a diversified-looking collateral pool from producing excessive leverage, while concentration limits stop a riskier component or single obligor from dominating repayment.</w:t>
      </w:r>
    </w:p>
    <w:p>
      <w:pPr>
        <w:pStyle w:val="Heading1"/>
        <w:spacing w:before="100" w:after="60"/>
      </w:pPr>
      <w:r>
        <w:rPr>
          <w:rFonts w:ascii="Calibri" w:hAnsi="Calibri" w:eastAsia="Calibri"/>
          <w:b/>
          <w:color w:val="17324D"/>
          <w:sz w:val="30"/>
        </w:rPr>
        <w:t>The five-step sizing sequence</w:t>
      </w:r>
    </w:p>
    <w:p>
      <w:pPr>
        <w:pStyle w:val="ListNumber"/>
        <w:spacing w:after="60"/>
        <w:ind w:left="691" w:hanging="331"/>
      </w:pPr>
      <w:r>
        <w:rPr>
          <w:rFonts w:ascii="Calibri" w:hAnsi="Calibri" w:eastAsia="Calibri"/>
          <w:b/>
          <w:color w:val="17324D"/>
          <w:sz w:val="19"/>
        </w:rPr>
        <w:t xml:space="preserve">Eligibility. </w:t>
      </w:r>
      <w:r>
        <w:rPr>
          <w:rFonts w:ascii="Calibri" w:hAnsi="Calibri" w:eastAsia="Calibri"/>
          <w:color w:val="17202A"/>
          <w:sz w:val="19"/>
        </w:rPr>
        <w:t>Verify ownership, enforceability, assignment, obligor, conditions, deductions, timing and absence of double counting.</w:t>
      </w:r>
    </w:p>
    <w:p>
      <w:pPr>
        <w:pStyle w:val="ListNumber"/>
        <w:spacing w:after="60"/>
        <w:ind w:left="691" w:hanging="331"/>
      </w:pPr>
      <w:r>
        <w:rPr>
          <w:rFonts w:ascii="Calibri" w:hAnsi="Calibri" w:eastAsia="Calibri"/>
          <w:b/>
          <w:color w:val="17324D"/>
          <w:sz w:val="19"/>
        </w:rPr>
        <w:t xml:space="preserve">Asset-level advance. </w:t>
      </w:r>
      <w:r>
        <w:rPr>
          <w:rFonts w:ascii="Calibri" w:hAnsi="Calibri" w:eastAsia="Calibri"/>
          <w:color w:val="17202A"/>
          <w:sz w:val="19"/>
        </w:rPr>
        <w:t>Apply the appropriate haircut; tax-credit advances are capped at 85% and gap at 50% of supported low value.</w:t>
      </w:r>
    </w:p>
    <w:p>
      <w:pPr>
        <w:pStyle w:val="ListNumber"/>
        <w:spacing w:after="60"/>
        <w:ind w:left="691" w:hanging="331"/>
      </w:pPr>
      <w:r>
        <w:rPr>
          <w:rFonts w:ascii="Calibri" w:hAnsi="Calibri" w:eastAsia="Calibri"/>
          <w:b/>
          <w:color w:val="17324D"/>
          <w:sz w:val="19"/>
        </w:rPr>
        <w:t xml:space="preserve">Concentration. </w:t>
      </w:r>
      <w:r>
        <w:rPr>
          <w:rFonts w:ascii="Calibri" w:hAnsi="Calibri" w:eastAsia="Calibri"/>
          <w:color w:val="17202A"/>
          <w:sz w:val="19"/>
        </w:rPr>
        <w:t>Gap generally may not exceed 30% of the actual final gross loan; other concentrations are assessed by risk.</w:t>
      </w:r>
    </w:p>
    <w:p>
      <w:pPr>
        <w:pStyle w:val="ListNumber"/>
        <w:spacing w:after="60"/>
        <w:ind w:left="691" w:hanging="331"/>
      </w:pPr>
      <w:r>
        <w:rPr>
          <w:rFonts w:ascii="Calibri" w:hAnsi="Calibri" w:eastAsia="Calibri"/>
          <w:b/>
          <w:color w:val="17324D"/>
          <w:sz w:val="19"/>
        </w:rPr>
        <w:t xml:space="preserve">Aggregate ceilings. </w:t>
      </w:r>
      <w:r>
        <w:rPr>
          <w:rFonts w:ascii="Calibri" w:hAnsi="Calibri" w:eastAsia="Calibri"/>
          <w:color w:val="17202A"/>
          <w:sz w:val="19"/>
        </w:rPr>
        <w:t>Apply aggregate LTV of no more than 60% and gross loan-to-budget of no more than 80%.</w:t>
      </w:r>
    </w:p>
    <w:p>
      <w:pPr>
        <w:pStyle w:val="ListNumber"/>
        <w:spacing w:after="60"/>
        <w:ind w:left="691" w:hanging="331"/>
      </w:pPr>
      <w:r>
        <w:rPr>
          <w:rFonts w:ascii="Calibri" w:hAnsi="Calibri" w:eastAsia="Calibri"/>
          <w:b/>
          <w:color w:val="17324D"/>
          <w:sz w:val="19"/>
        </w:rPr>
        <w:t xml:space="preserve">Term and liquidity. </w:t>
      </w:r>
      <w:r>
        <w:rPr>
          <w:rFonts w:ascii="Calibri" w:hAnsi="Calibri" w:eastAsia="Calibri"/>
          <w:color w:val="17202A"/>
          <w:sz w:val="19"/>
        </w:rPr>
        <w:t>Size to realistic collection timing, reserves, extensions and a term generally no longer than 15 months.</w:t>
      </w:r>
    </w:p>
    <w:p>
      <w:pPr>
        <w:pStyle w:val="Heading1"/>
        <w:spacing w:before="100" w:after="60"/>
      </w:pPr>
      <w:r>
        <w:rPr>
          <w:rFonts w:ascii="Calibri" w:hAnsi="Calibri" w:eastAsia="Calibri"/>
          <w:b/>
          <w:color w:val="17324D"/>
          <w:sz w:val="30"/>
        </w:rPr>
        <w:t>How the constraints interact</w:t>
      </w:r>
    </w:p>
    <w:p>
      <w:pPr>
        <w:spacing w:after="80"/>
      </w:pPr>
      <w:r>
        <w:rPr>
          <w:rFonts w:ascii="Calibri" w:hAnsi="Calibri" w:eastAsia="Calibri"/>
          <w:i w:val="0"/>
          <w:color w:val="17202A"/>
          <w:sz w:val="20"/>
        </w:rPr>
        <w:t>For each collateral item, MediaHedge calculates eligible net value and its advanced value. Those amounts are aggregated without treating unlike assets as equally certain. The proposed loan is then tested against collateral, budget, gap concentration, term and any obligor or jurisdiction limits. The smallest permitted amount becomes the structural ceiling. Sources and uses, interest reserves and fees are then reconciled so the production remains fully financed. Exceptions remain visible and require separate approval; they are not embedded in the score or offset by a higher coupon.</w:t>
      </w:r>
    </w:p>
    <w:p>
      <w:pPr>
        <w:pStyle w:val="Heading1"/>
        <w:spacing w:before="0" w:after="80"/>
      </w:pPr>
      <w:r>
        <w:rPr>
          <w:rFonts w:ascii="Calibri" w:hAnsi="Calibri" w:eastAsia="Calibri"/>
          <w:b/>
          <w:color w:val="17324D"/>
          <w:sz w:val="30"/>
        </w:rPr>
        <w:t>How finance experts should read the output</w:t>
      </w:r>
    </w:p>
    <w:p>
      <w:pPr>
        <w:spacing w:after="80"/>
      </w:pPr>
      <w:r>
        <w:rPr>
          <w:rFonts w:ascii="Calibri" w:hAnsi="Calibri" w:eastAsia="Calibri"/>
          <w:i w:val="0"/>
          <w:color w:val="17202A"/>
          <w:sz w:val="20"/>
        </w:rPr>
        <w:t>The underwriting package should display at least five distinct outputs: eligible collateral, permitted exposure, pricing, internal score or classification, and approval status. A strong score does not override a hard limit, and a high yield does not make unsupported collateral eligible. Financiers should be able to reproduce the commitment from the collateral schedule and see which constraint binds, how much cushion remains, and how downside cases affect principal recovery and timing.</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Constraint hierarchy, benefits and diligence</w:t>
      </w:r>
    </w:p>
    <w:p>
      <w:pPr>
        <w:pStyle w:val="Heading2"/>
        <w:spacing w:before="80" w:after="80"/>
      </w:pPr>
      <w:r>
        <w:rPr>
          <w:rFonts w:ascii="Calibri" w:hAnsi="Calibri" w:eastAsia="Calibri"/>
          <w:b/>
          <w:color w:val="2E6E9E"/>
          <w:sz w:val="24"/>
        </w:rPr>
        <w:t>The tightest ceiling controls</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Sizing test</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Current policy treatment</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Asset advance</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What portion of verified value is financeable?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Asset-specific haircut; tax credit &lt;=85%; gap &lt;=50% of low case.</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Concentration</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Can one risk component dominate repayment?</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Gap generally &lt;=30% of final gross loan; other limits by exposure.</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Aggregate leverage</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Is total debt conservative versus value?</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Aggregate LTV &lt;=60%; gross loan-to-budget &lt;=80%.</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Term/liquidity</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Can cash collect before maturity with cushion?</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Generally &lt;=15 months plus timing stress and reserves.</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Reproducible commitment logic. </w:t>
      </w:r>
      <w:r>
        <w:rPr>
          <w:rFonts w:ascii="Calibri" w:hAnsi="Calibri" w:eastAsia="Calibri"/>
          <w:color w:val="17202A"/>
          <w:sz w:val="19"/>
        </w:rPr>
        <w:t>The approved amount can be traced from verified assets through explicit constraints.</w:t>
      </w:r>
    </w:p>
    <w:p>
      <w:pPr>
        <w:pStyle w:val="ListBullet"/>
        <w:spacing w:after="50"/>
        <w:ind w:left="720" w:hanging="360"/>
      </w:pPr>
      <w:r>
        <w:rPr>
          <w:rFonts w:ascii="Calibri" w:hAnsi="Calibri" w:eastAsia="Calibri"/>
          <w:b/>
          <w:color w:val="17202A"/>
          <w:sz w:val="19"/>
        </w:rPr>
        <w:t xml:space="preserve">Structural loss protection. </w:t>
      </w:r>
      <w:r>
        <w:rPr>
          <w:rFonts w:ascii="Calibri" w:hAnsi="Calibri" w:eastAsia="Calibri"/>
          <w:color w:val="17202A"/>
          <w:sz w:val="19"/>
        </w:rPr>
        <w:t>Haircuts and aggregate ceilings create cushion before expected return is considered.</w:t>
      </w:r>
    </w:p>
    <w:p>
      <w:pPr>
        <w:pStyle w:val="ListBullet"/>
        <w:spacing w:after="50"/>
        <w:ind w:left="720" w:hanging="360"/>
      </w:pPr>
      <w:r>
        <w:rPr>
          <w:rFonts w:ascii="Calibri" w:hAnsi="Calibri" w:eastAsia="Calibri"/>
          <w:b/>
          <w:color w:val="17202A"/>
          <w:sz w:val="19"/>
        </w:rPr>
        <w:t xml:space="preserve">Risk differentiation. </w:t>
      </w:r>
      <w:r>
        <w:rPr>
          <w:rFonts w:ascii="Calibri" w:hAnsi="Calibri" w:eastAsia="Calibri"/>
          <w:color w:val="17202A"/>
          <w:sz w:val="19"/>
        </w:rPr>
        <w:t>Contracted receivables, tax incentives and unsold rights are not blended at a common advance rate.</w:t>
      </w:r>
    </w:p>
    <w:p>
      <w:pPr>
        <w:pStyle w:val="ListBullet"/>
        <w:spacing w:after="50"/>
        <w:ind w:left="720" w:hanging="360"/>
      </w:pPr>
      <w:r>
        <w:rPr>
          <w:rFonts w:ascii="Calibri" w:hAnsi="Calibri" w:eastAsia="Calibri"/>
          <w:b/>
          <w:color w:val="17202A"/>
          <w:sz w:val="19"/>
        </w:rPr>
        <w:t xml:space="preserve">Visible exception governance. </w:t>
      </w:r>
      <w:r>
        <w:rPr>
          <w:rFonts w:ascii="Calibri" w:hAnsi="Calibri" w:eastAsia="Calibri"/>
          <w:color w:val="17202A"/>
          <w:sz w:val="19"/>
        </w:rPr>
        <w:t>Overrides can be measured, approved and monitored instead of disappearing in a composite score.</w:t>
      </w:r>
    </w:p>
    <w:p>
      <w:pPr>
        <w:pStyle w:val="ListBullet"/>
        <w:spacing w:after="50"/>
        <w:ind w:left="720" w:hanging="360"/>
      </w:pPr>
      <w:r>
        <w:rPr>
          <w:rFonts w:ascii="Calibri" w:hAnsi="Calibri" w:eastAsia="Calibri"/>
          <w:b/>
          <w:color w:val="17202A"/>
          <w:sz w:val="19"/>
        </w:rPr>
        <w:t xml:space="preserve">Portfolio consistency. </w:t>
      </w:r>
      <w:r>
        <w:rPr>
          <w:rFonts w:ascii="Calibri" w:hAnsi="Calibri" w:eastAsia="Calibri"/>
          <w:color w:val="17202A"/>
          <w:sz w:val="19"/>
        </w:rPr>
        <w:t>Common rules allow concentration, vintage and risk-adjusted return comparisons across loans.</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Policy thresholds are MediaHedge film-finance controls, not universal constants. Collateral values can overlap, mature after the loan, sit behind deductions or depend on the same production event. A 60% aggregate LTV does not protect the lender if value is ineligible or correlated. Gross loan-to-budget is not a substitute for sources-and-uses analysis. Fees and capitalized interest can increase exposure after closing. Circular formulas - especially a gap cap calculated against a loan amount that itself includes gap - must be solved and audited explicitly.</w:t>
      </w:r>
    </w:p>
    <w:p>
      <w:pPr>
        <w:pStyle w:val="Heading2"/>
        <w:spacing w:before="100" w:after="60"/>
      </w:pPr>
      <w:r>
        <w:rPr>
          <w:rFonts w:ascii="Calibri" w:hAnsi="Calibri" w:eastAsia="Calibri"/>
          <w:b/>
          <w:color w:val="2E6E9E"/>
          <w:sz w:val="24"/>
        </w:rPr>
        <w:t>What MediaHedge verifies before funding</w:t>
      </w:r>
    </w:p>
    <w:p>
      <w:pPr>
        <w:pStyle w:val="ListBullet"/>
        <w:spacing w:after="50"/>
        <w:ind w:left="720" w:hanging="360"/>
      </w:pPr>
      <w:r>
        <w:rPr>
          <w:rFonts w:ascii="Calibri" w:hAnsi="Calibri" w:eastAsia="Calibri"/>
          <w:b/>
          <w:color w:val="17202A"/>
          <w:sz w:val="19"/>
        </w:rPr>
        <w:t xml:space="preserve">Eligible net value. </w:t>
      </w:r>
      <w:r>
        <w:rPr>
          <w:rFonts w:ascii="Calibri" w:hAnsi="Calibri" w:eastAsia="Calibri"/>
          <w:color w:val="17202A"/>
          <w:sz w:val="19"/>
        </w:rPr>
        <w:t>Reconcile contracts and evidence; remove conditions, offsets, overlap, unsupported amounts and timing mismatches.</w:t>
      </w:r>
    </w:p>
    <w:p>
      <w:pPr>
        <w:pStyle w:val="ListBullet"/>
        <w:spacing w:after="50"/>
        <w:ind w:left="720" w:hanging="360"/>
      </w:pPr>
      <w:r>
        <w:rPr>
          <w:rFonts w:ascii="Calibri" w:hAnsi="Calibri" w:eastAsia="Calibri"/>
          <w:b/>
          <w:color w:val="17202A"/>
          <w:sz w:val="19"/>
        </w:rPr>
        <w:t xml:space="preserve">Binding constraint. </w:t>
      </w:r>
      <w:r>
        <w:rPr>
          <w:rFonts w:ascii="Calibri" w:hAnsi="Calibri" w:eastAsia="Calibri"/>
          <w:color w:val="17202A"/>
          <w:sz w:val="19"/>
        </w:rPr>
        <w:t>Show every sizing test, the lowest ceiling, remaining cushion and any approved exception.</w:t>
      </w:r>
    </w:p>
    <w:p>
      <w:pPr>
        <w:pStyle w:val="ListBullet"/>
        <w:spacing w:after="50"/>
        <w:ind w:left="720" w:hanging="360"/>
      </w:pPr>
      <w:r>
        <w:rPr>
          <w:rFonts w:ascii="Calibri" w:hAnsi="Calibri" w:eastAsia="Calibri"/>
          <w:b/>
          <w:color w:val="17202A"/>
          <w:sz w:val="19"/>
        </w:rPr>
        <w:t xml:space="preserve">Sources and uses. </w:t>
      </w:r>
      <w:r>
        <w:rPr>
          <w:rFonts w:ascii="Calibri" w:hAnsi="Calibri" w:eastAsia="Calibri"/>
          <w:color w:val="17202A"/>
          <w:sz w:val="19"/>
        </w:rPr>
        <w:t>Confirm full financing, contingency, reserves, fees and interest without hidden funding gaps.</w:t>
      </w:r>
    </w:p>
    <w:p>
      <w:pPr>
        <w:pStyle w:val="ListBullet"/>
        <w:spacing w:after="50"/>
        <w:ind w:left="720" w:hanging="360"/>
      </w:pPr>
      <w:r>
        <w:rPr>
          <w:rFonts w:ascii="Calibri" w:hAnsi="Calibri" w:eastAsia="Calibri"/>
          <w:b/>
          <w:color w:val="17202A"/>
          <w:sz w:val="19"/>
        </w:rPr>
        <w:t xml:space="preserve">Downside and returns. </w:t>
      </w:r>
      <w:r>
        <w:rPr>
          <w:rFonts w:ascii="Calibri" w:hAnsi="Calibri" w:eastAsia="Calibri"/>
          <w:color w:val="17202A"/>
          <w:sz w:val="19"/>
        </w:rPr>
        <w:t>Stress value and timing; report principal-weighted coupon, XIRR, multiple and expected-loss-adjusted return.</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MediaHedge sizing is a constraint system: verify the asset, haircut it, limit concentration, cap aggregate leverage, align maturity and fund the full production plan. The final loan is the smallest amount permitted by those tests. Pricing, score and approval are important outputs, but none may cure ineligible collateral or override a hard structural gate.</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How MediaHedge Sizes a Loan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How MediaHedge Sizes a Loan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MediaHedge Sizes a Loan</dc:title>
  <dc:subject>How eligible collateral, advance rates and hard portfolio controls determine commitment size</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