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eastAsia="Calibri"/>
          <w:b/>
          <w:color w:val="2E6E9E"/>
          <w:sz w:val="17"/>
        </w:rPr>
        <w:t>POST-CLOSE OVERSIGHT, EXPLAINED</w:t>
      </w:r>
    </w:p>
    <w:p>
      <w:pPr>
        <w:spacing w:after="40"/>
      </w:pPr>
      <w:r>
        <w:rPr>
          <w:rFonts w:ascii="Calibri" w:hAnsi="Calibri" w:eastAsia="Calibri"/>
          <w:b/>
          <w:color w:val="17324D"/>
          <w:sz w:val="47"/>
        </w:rPr>
        <w:t>Monitoring and Servicing After Closing</w:t>
      </w:r>
    </w:p>
    <w:p>
      <w:pPr>
        <w:spacing w:after="160"/>
      </w:pPr>
      <w:r>
        <w:rPr>
          <w:rFonts w:ascii="Calibri" w:hAnsi="Calibri" w:eastAsia="Calibri"/>
          <w:i/>
          <w:color w:val="65727E"/>
          <w:sz w:val="23"/>
        </w:rPr>
        <w:t>How production, collateral and cash surveillance protect capital through repayment</w:t>
      </w:r>
    </w:p>
    <w:p>
      <w:pPr>
        <w:spacing w:before="40" w:after="140" w:line="254" w:lineRule="auto"/>
        <w:ind w:left="230" w:right="173"/>
        <w:shd w:fill="EAF2F8"/>
        <w:pBdr>
          <w:left w:val="single" w:sz="18" w:space="8" w:color="2E6E9E"/>
        </w:pBdr>
      </w:pPr>
      <w:r>
        <w:rPr>
          <w:rFonts w:ascii="Calibri" w:hAnsi="Calibri" w:eastAsia="Calibri"/>
          <w:b/>
          <w:color w:val="17324D"/>
          <w:sz w:val="19"/>
        </w:rPr>
        <w:t xml:space="preserve">THE SHORT VERSION  </w:t>
      </w:r>
      <w:r>
        <w:rPr>
          <w:rFonts w:ascii="Calibri" w:hAnsi="Calibri" w:eastAsia="Calibri"/>
          <w:color w:val="17202A"/>
          <w:sz w:val="19"/>
        </w:rPr>
        <w:t>Closing establishes rights; servicing preserves them. MediaHedge should monitor the production budget and schedule, collateral eligibility, obligor and contract status, delivery, claims, collections and covenant compliance from first draw through final payoff. The objective is not passive reporting. It is to identify variance early enough to preserve cure, completion, payment-control and enforcement options.</w:t>
      </w:r>
    </w:p>
    <w:p>
      <w:pPr>
        <w:pStyle w:val="Heading1"/>
        <w:spacing w:before="100" w:after="60"/>
      </w:pPr>
      <w:r>
        <w:rPr>
          <w:rFonts w:ascii="Calibri" w:hAnsi="Calibri" w:eastAsia="Calibri"/>
          <w:b/>
          <w:color w:val="17324D"/>
          <w:sz w:val="30"/>
        </w:rPr>
        <w:t>Why film-finance risk changes after closing</w:t>
      </w:r>
    </w:p>
    <w:p>
      <w:pPr>
        <w:spacing w:after="80"/>
      </w:pPr>
      <w:r>
        <w:rPr>
          <w:rFonts w:ascii="Calibri" w:hAnsi="Calibri" w:eastAsia="Calibri"/>
          <w:i w:val="0"/>
          <w:color w:val="17202A"/>
          <w:sz w:val="20"/>
        </w:rPr>
        <w:t>A loan may begin with adequate collateral and full financing, yet production delays, cost overruns, contract amendments, distributor credit events, incentive-rule failures or collection slippage can change expected recovery and duration. Collateral also changes form: unsold rights become licenses, costs become tax-credit claims and completed delivery turns contracts into due receivables. Servicing must track those state changes and keep the security, borrowing base and cash forecast current.</w:t>
      </w:r>
    </w:p>
    <w:p>
      <w:pPr>
        <w:pStyle w:val="Heading1"/>
        <w:spacing w:before="100" w:after="60"/>
      </w:pPr>
      <w:r>
        <w:rPr>
          <w:rFonts w:ascii="Calibri" w:hAnsi="Calibri" w:eastAsia="Calibri"/>
          <w:b/>
          <w:color w:val="17324D"/>
          <w:sz w:val="30"/>
        </w:rPr>
        <w:t>The five-part servicing architecture</w:t>
      </w:r>
    </w:p>
    <w:p>
      <w:pPr>
        <w:pStyle w:val="ListNumber"/>
        <w:spacing w:after="60"/>
        <w:ind w:left="691" w:hanging="331"/>
      </w:pPr>
      <w:r>
        <w:rPr>
          <w:rFonts w:ascii="Calibri" w:hAnsi="Calibri" w:eastAsia="Calibri"/>
          <w:b/>
          <w:color w:val="17324D"/>
          <w:sz w:val="19"/>
        </w:rPr>
        <w:t xml:space="preserve">Production surveillance. </w:t>
      </w:r>
      <w:r>
        <w:rPr>
          <w:rFonts w:ascii="Calibri" w:hAnsi="Calibri" w:eastAsia="Calibri"/>
          <w:color w:val="17202A"/>
          <w:sz w:val="19"/>
        </w:rPr>
        <w:t>Cost reports, schedules, completion-guarantor reports and draw controls track cost to complete and delivery risk.</w:t>
      </w:r>
    </w:p>
    <w:p>
      <w:pPr>
        <w:pStyle w:val="ListNumber"/>
        <w:spacing w:after="60"/>
        <w:ind w:left="691" w:hanging="331"/>
      </w:pPr>
      <w:r>
        <w:rPr>
          <w:rFonts w:ascii="Calibri" w:hAnsi="Calibri" w:eastAsia="Calibri"/>
          <w:b/>
          <w:color w:val="17324D"/>
          <w:sz w:val="19"/>
        </w:rPr>
        <w:t xml:space="preserve">Collateral surveillance. </w:t>
      </w:r>
      <w:r>
        <w:rPr>
          <w:rFonts w:ascii="Calibri" w:hAnsi="Calibri" w:eastAsia="Calibri"/>
          <w:color w:val="17202A"/>
          <w:sz w:val="19"/>
        </w:rPr>
        <w:t>Contract, obligor, incentive, rights and valuation changes update eligible value and concentration.</w:t>
      </w:r>
    </w:p>
    <w:p>
      <w:pPr>
        <w:pStyle w:val="ListNumber"/>
        <w:spacing w:after="60"/>
        <w:ind w:left="691" w:hanging="331"/>
      </w:pPr>
      <w:r>
        <w:rPr>
          <w:rFonts w:ascii="Calibri" w:hAnsi="Calibri" w:eastAsia="Calibri"/>
          <w:b/>
          <w:color w:val="17324D"/>
          <w:sz w:val="19"/>
        </w:rPr>
        <w:t xml:space="preserve">Cash servicing. </w:t>
      </w:r>
      <w:r>
        <w:rPr>
          <w:rFonts w:ascii="Calibri" w:hAnsi="Calibri" w:eastAsia="Calibri"/>
          <w:color w:val="17202A"/>
          <w:sz w:val="19"/>
        </w:rPr>
        <w:t>Invoices, receipts, controlled accounts, waterfalls and remittances are reconciled to the loan subledger.</w:t>
      </w:r>
    </w:p>
    <w:p>
      <w:pPr>
        <w:pStyle w:val="ListNumber"/>
        <w:spacing w:after="60"/>
        <w:ind w:left="691" w:hanging="331"/>
      </w:pPr>
      <w:r>
        <w:rPr>
          <w:rFonts w:ascii="Calibri" w:hAnsi="Calibri" w:eastAsia="Calibri"/>
          <w:b/>
          <w:color w:val="17324D"/>
          <w:sz w:val="19"/>
        </w:rPr>
        <w:t xml:space="preserve">Covenant and exception control. </w:t>
      </w:r>
      <w:r>
        <w:rPr>
          <w:rFonts w:ascii="Calibri" w:hAnsi="Calibri" w:eastAsia="Calibri"/>
          <w:color w:val="17202A"/>
          <w:sz w:val="19"/>
        </w:rPr>
        <w:t>Breaches, waivers, amendments and document expirations are logged, aged and escalated.</w:t>
      </w:r>
    </w:p>
    <w:p>
      <w:pPr>
        <w:pStyle w:val="ListNumber"/>
        <w:spacing w:after="60"/>
        <w:ind w:left="691" w:hanging="331"/>
      </w:pPr>
      <w:r>
        <w:rPr>
          <w:rFonts w:ascii="Calibri" w:hAnsi="Calibri" w:eastAsia="Calibri"/>
          <w:b/>
          <w:color w:val="17324D"/>
          <w:sz w:val="19"/>
        </w:rPr>
        <w:t xml:space="preserve">Investor reporting. </w:t>
      </w:r>
      <w:r>
        <w:rPr>
          <w:rFonts w:ascii="Calibri" w:hAnsi="Calibri" w:eastAsia="Calibri"/>
          <w:color w:val="17202A"/>
          <w:sz w:val="19"/>
        </w:rPr>
        <w:t>The financing partner receives standardized exposure, accrual, maturity, variance and recovery reporting.</w:t>
      </w:r>
    </w:p>
    <w:p>
      <w:pPr>
        <w:pStyle w:val="Heading1"/>
        <w:spacing w:before="100" w:after="60"/>
      </w:pPr>
      <w:r>
        <w:rPr>
          <w:rFonts w:ascii="Calibri" w:hAnsi="Calibri" w:eastAsia="Calibri"/>
          <w:b/>
          <w:color w:val="17324D"/>
          <w:sz w:val="30"/>
        </w:rPr>
        <w:t>How surveillance becomes action</w:t>
      </w:r>
    </w:p>
    <w:p>
      <w:pPr>
        <w:spacing w:after="80"/>
      </w:pPr>
      <w:r>
        <w:rPr>
          <w:rFonts w:ascii="Calibri" w:hAnsi="Calibri" w:eastAsia="Calibri"/>
          <w:i w:val="0"/>
          <w:color w:val="17202A"/>
          <w:sz w:val="20"/>
        </w:rPr>
        <w:t>At closing, MediaHedge establishes a baseline budget, schedule, borrowing base, collateral calendar and expected cash curve. Actual production and collection data are compared with that baseline at a defined frequency. Exceptions are classified by severity, owner, cure date and effect on value, timing and return. Trigger thresholds determine whether to pause draws, increase reserves, obtain a waiver, notify a guarantor or obligor, exercise cure rights, reforecast maturity or begin a workout. Every decision and consent is documented for the capital partner.</w:t>
      </w:r>
    </w:p>
    <w:p>
      <w:pPr>
        <w:pStyle w:val="Heading1"/>
        <w:spacing w:before="0" w:after="80"/>
      </w:pPr>
      <w:r>
        <w:rPr>
          <w:rFonts w:ascii="Calibri" w:hAnsi="Calibri" w:eastAsia="Calibri"/>
          <w:b/>
          <w:color w:val="17324D"/>
          <w:sz w:val="30"/>
        </w:rPr>
        <w:t>Where the financing partner retains control</w:t>
      </w:r>
    </w:p>
    <w:p>
      <w:pPr>
        <w:spacing w:after="80"/>
      </w:pPr>
      <w:r>
        <w:rPr>
          <w:rFonts w:ascii="Calibri" w:hAnsi="Calibri" w:eastAsia="Calibri"/>
          <w:i w:val="0"/>
          <w:color w:val="17202A"/>
          <w:sz w:val="20"/>
        </w:rPr>
        <w:t>The forward-flow or participation documents should define reporting frequency, data fields, service levels, approval thresholds and reserved matters. Material collateral releases, maturity extensions, principal compromises, enforcement decisions, related-party payments and changes to payment control should require the agreed level of investor consent. Backup servicing, document custody and data portability should allow the portfolio to remain operable if the primary servicer is replaced.</w:t>
      </w:r>
    </w:p>
    <w:p>
      <w:pPr>
        <w:sectPr>
          <w:headerReference w:type="default" r:id="rId9"/>
          <w:footerReference w:type="default" r:id="rId10"/>
          <w:pgSz w:w="12240" w:h="15840"/>
          <w:pgMar w:top="1123" w:right="1267" w:bottom="1037" w:left="1267" w:header="490" w:footer="490" w:gutter="0"/>
          <w:cols w:space="720"/>
          <w:docGrid w:linePitch="360"/>
        </w:sectPr>
      </w:pPr>
    </w:p>
    <w:p>
      <w:pPr>
        <w:pStyle w:val="Heading1"/>
        <w:spacing w:before="0" w:after="80"/>
      </w:pPr>
      <w:r>
        <w:rPr>
          <w:rFonts w:ascii="Calibri" w:hAnsi="Calibri" w:eastAsia="Calibri"/>
          <w:b/>
          <w:color w:val="17324D"/>
          <w:sz w:val="30"/>
        </w:rPr>
        <w:t>Surveillance outputs, benefits and diligence</w:t>
      </w:r>
    </w:p>
    <w:p>
      <w:pPr>
        <w:pStyle w:val="Heading2"/>
        <w:spacing w:before="80" w:after="80"/>
      </w:pPr>
      <w:r>
        <w:rPr>
          <w:rFonts w:ascii="Calibri" w:hAnsi="Calibri" w:eastAsia="Calibri"/>
          <w:b/>
          <w:color w:val="2E6E9E"/>
          <w:sz w:val="24"/>
        </w:rPr>
        <w:t>A monitoring system should connect data to decisions</w:t>
      </w:r>
    </w:p>
    <w:tbl>
      <w:tblPr>
        <w:tblStyle w:val="TableGrid"/>
        <w:tblW w:type="dxa" w:w="9360"/>
        <w:jc w:val="left"/>
        <w:tblLayout w:type="fixed"/>
        <w:tblLook w:firstColumn="1" w:firstRow="1" w:lastColumn="0" w:lastRow="0" w:noHBand="0" w:noVBand="1" w:val="04A0"/>
        <w:tblInd w:w="120" w:type="dxa"/>
      </w:tblPr>
      <w:tblGrid>
        <w:gridCol w:w="2550"/>
        <w:gridCol w:w="2550"/>
        <w:gridCol w:w="4260"/>
      </w:tblGrid>
      <w:tr>
        <w:trPr>
          <w:tblHeader w:val="true"/>
        </w:trPr>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Monitor</w:t>
            </w:r>
          </w:p>
        </w:tc>
        <w:tc>
          <w:tcPr>
            <w:tcW w:type="dxa" w:w="255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Financier's question</w:t>
            </w:r>
          </w:p>
        </w:tc>
        <w:tc>
          <w:tcPr>
            <w:tcW w:type="dxa" w:w="4260"/>
            <w:vAlign w:val="center"/>
            <w:tcMar>
              <w:top w:w="90" w:type="dxa"/>
              <w:start w:w="120" w:type="dxa"/>
              <w:bottom w:w="90" w:type="dxa"/>
              <w:end w:w="120" w:type="dxa"/>
            </w:tcMar>
            <w:shd w:fill="17324D"/>
          </w:tcPr>
          <w:p>
            <w:pPr>
              <w:spacing w:before="0" w:after="0" w:line="240" w:lineRule="auto"/>
            </w:pPr>
            <w:r>
              <w:rPr>
                <w:rFonts w:ascii="Calibri" w:hAnsi="Calibri" w:eastAsia="Calibri"/>
                <w:b/>
                <w:color w:val="FFFFFF"/>
                <w:sz w:val="17"/>
              </w:rPr>
              <w:t>Actionable output</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Production</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Is remaining liquidity sufficient to deliver?</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Cost-to-complete, schedule variance, contingency and draw decision.</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Collateral</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Has eligible net value or timing changed?</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Updated borrowing base, concentration and coverage cushion.</w:t>
            </w:r>
          </w:p>
        </w:tc>
      </w:tr>
      <w:tr>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Cash</w:t>
            </w:r>
          </w:p>
        </w:tc>
        <w:tc>
          <w:tcPr>
            <w:tcW w:type="dxa" w:w="255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Are expected payments invoiced and collected?</w:t>
            </w:r>
          </w:p>
        </w:tc>
        <w:tc>
          <w:tcPr>
            <w:tcW w:type="dxa" w:w="4260"/>
            <w:vAlign w:val="center"/>
            <w:tcMar>
              <w:top w:w="90" w:type="dxa"/>
              <w:start w:w="120" w:type="dxa"/>
              <w:bottom w:w="90" w:type="dxa"/>
              <w:end w:w="120" w:type="dxa"/>
            </w:tcMar>
            <w:shd w:fill="FFFFFF"/>
          </w:tcPr>
          <w:p>
            <w:pPr>
              <w:spacing w:before="0" w:after="0" w:line="240" w:lineRule="auto"/>
            </w:pPr>
            <w:r>
              <w:rPr>
                <w:rFonts w:ascii="Calibri" w:hAnsi="Calibri" w:eastAsia="Calibri"/>
                <w:b w:val="0"/>
                <w:color w:val="17202A"/>
                <w:sz w:val="16"/>
              </w:rPr>
              <w:t>Receivables aging, bank reconciliation and waterfall remittance.</w:t>
            </w:r>
          </w:p>
        </w:tc>
      </w:tr>
      <w:tr>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Covenants</w:t>
            </w:r>
          </w:p>
        </w:tc>
        <w:tc>
          <w:tcPr>
            <w:tcW w:type="dxa" w:w="255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Which rights must be exercised now?</w:t>
            </w:r>
          </w:p>
        </w:tc>
        <w:tc>
          <w:tcPr>
            <w:tcW w:type="dxa" w:w="4260"/>
            <w:vAlign w:val="center"/>
            <w:tcMar>
              <w:top w:w="90" w:type="dxa"/>
              <w:start w:w="120" w:type="dxa"/>
              <w:bottom w:w="90" w:type="dxa"/>
              <w:end w:w="120" w:type="dxa"/>
            </w:tcMar>
            <w:shd w:fill="F3F5F7"/>
          </w:tcPr>
          <w:p>
            <w:pPr>
              <w:spacing w:before="0" w:after="0" w:line="240" w:lineRule="auto"/>
            </w:pPr>
            <w:r>
              <w:rPr>
                <w:rFonts w:ascii="Calibri" w:hAnsi="Calibri" w:eastAsia="Calibri"/>
                <w:b w:val="0"/>
                <w:color w:val="17202A"/>
                <w:sz w:val="16"/>
              </w:rPr>
              <w:t>Trigger log, cure plan, consent request and escalation status.</w:t>
            </w:r>
          </w:p>
        </w:tc>
      </w:tr>
    </w:tbl>
    <w:p>
      <w:pPr>
        <w:pStyle w:val="Heading2"/>
        <w:spacing w:before="140" w:after="60"/>
      </w:pPr>
      <w:r>
        <w:rPr>
          <w:rFonts w:ascii="Calibri" w:hAnsi="Calibri" w:eastAsia="Calibri"/>
          <w:b/>
          <w:color w:val="2E6E9E"/>
          <w:sz w:val="24"/>
        </w:rPr>
        <w:t>Key benefits to a financier</w:t>
      </w:r>
    </w:p>
    <w:p>
      <w:pPr>
        <w:pStyle w:val="ListBullet"/>
        <w:spacing w:after="50"/>
        <w:ind w:left="720" w:hanging="360"/>
      </w:pPr>
      <w:r>
        <w:rPr>
          <w:rFonts w:ascii="Calibri" w:hAnsi="Calibri" w:eastAsia="Calibri"/>
          <w:b/>
          <w:color w:val="17202A"/>
          <w:sz w:val="19"/>
        </w:rPr>
        <w:t xml:space="preserve">Earlier loss mitigation. </w:t>
      </w:r>
      <w:r>
        <w:rPr>
          <w:rFonts w:ascii="Calibri" w:hAnsi="Calibri" w:eastAsia="Calibri"/>
          <w:color w:val="17202A"/>
          <w:sz w:val="19"/>
        </w:rPr>
        <w:t>Timely variance detection preserves more cure and enforcement choices.</w:t>
      </w:r>
    </w:p>
    <w:p>
      <w:pPr>
        <w:pStyle w:val="ListBullet"/>
        <w:spacing w:after="50"/>
        <w:ind w:left="720" w:hanging="360"/>
      </w:pPr>
      <w:r>
        <w:rPr>
          <w:rFonts w:ascii="Calibri" w:hAnsi="Calibri" w:eastAsia="Calibri"/>
          <w:b/>
          <w:color w:val="17202A"/>
          <w:sz w:val="19"/>
        </w:rPr>
        <w:t xml:space="preserve">Accurate exposure and return. </w:t>
      </w:r>
      <w:r>
        <w:rPr>
          <w:rFonts w:ascii="Calibri" w:hAnsi="Calibri" w:eastAsia="Calibri"/>
          <w:color w:val="17202A"/>
          <w:sz w:val="19"/>
        </w:rPr>
        <w:t>Principal, accrued interest, fees, receipts and expected maturity remain reconcilable.</w:t>
      </w:r>
    </w:p>
    <w:p>
      <w:pPr>
        <w:pStyle w:val="ListBullet"/>
        <w:spacing w:after="50"/>
        <w:ind w:left="720" w:hanging="360"/>
      </w:pPr>
      <w:r>
        <w:rPr>
          <w:rFonts w:ascii="Calibri" w:hAnsi="Calibri" w:eastAsia="Calibri"/>
          <w:b/>
          <w:color w:val="17202A"/>
          <w:sz w:val="19"/>
        </w:rPr>
        <w:t xml:space="preserve">Dynamic borrowing-base discipline. </w:t>
      </w:r>
      <w:r>
        <w:rPr>
          <w:rFonts w:ascii="Calibri" w:hAnsi="Calibri" w:eastAsia="Calibri"/>
          <w:color w:val="17202A"/>
          <w:sz w:val="19"/>
        </w:rPr>
        <w:t>Collateral shortfalls and concentration changes are visible before distributions leak.</w:t>
      </w:r>
    </w:p>
    <w:p>
      <w:pPr>
        <w:pStyle w:val="ListBullet"/>
        <w:spacing w:after="50"/>
        <w:ind w:left="720" w:hanging="360"/>
      </w:pPr>
      <w:r>
        <w:rPr>
          <w:rFonts w:ascii="Calibri" w:hAnsi="Calibri" w:eastAsia="Calibri"/>
          <w:b/>
          <w:color w:val="17202A"/>
          <w:sz w:val="19"/>
        </w:rPr>
        <w:t xml:space="preserve">Governed exceptions. </w:t>
      </w:r>
      <w:r>
        <w:rPr>
          <w:rFonts w:ascii="Calibri" w:hAnsi="Calibri" w:eastAsia="Calibri"/>
          <w:color w:val="17202A"/>
          <w:sz w:val="19"/>
        </w:rPr>
        <w:t>Waivers and amendments are documented, priced where appropriate and approved at the right level.</w:t>
      </w:r>
    </w:p>
    <w:p>
      <w:pPr>
        <w:pStyle w:val="ListBullet"/>
        <w:spacing w:after="50"/>
        <w:ind w:left="720" w:hanging="360"/>
      </w:pPr>
      <w:r>
        <w:rPr>
          <w:rFonts w:ascii="Calibri" w:hAnsi="Calibri" w:eastAsia="Calibri"/>
          <w:b/>
          <w:color w:val="17202A"/>
          <w:sz w:val="19"/>
        </w:rPr>
        <w:t xml:space="preserve">Portable operations. </w:t>
      </w:r>
      <w:r>
        <w:rPr>
          <w:rFonts w:ascii="Calibri" w:hAnsi="Calibri" w:eastAsia="Calibri"/>
          <w:color w:val="17202A"/>
          <w:sz w:val="19"/>
        </w:rPr>
        <w:t>Custody, data and backup plans reduce dependence on one person or system.</w:t>
      </w:r>
    </w:p>
    <w:p>
      <w:pPr>
        <w:pStyle w:val="Heading2"/>
        <w:spacing w:before="120" w:after="60"/>
      </w:pPr>
      <w:r>
        <w:rPr>
          <w:rFonts w:ascii="Calibri" w:hAnsi="Calibri" w:eastAsia="Calibri"/>
          <w:b/>
          <w:color w:val="2E6E9E"/>
          <w:sz w:val="24"/>
        </w:rPr>
        <w:t>Important limits and common risk traps</w:t>
      </w:r>
    </w:p>
    <w:p>
      <w:pPr>
        <w:spacing w:after="80"/>
      </w:pPr>
      <w:r>
        <w:rPr>
          <w:rFonts w:ascii="Calibri" w:hAnsi="Calibri" w:eastAsia="Calibri"/>
          <w:i w:val="0"/>
          <w:color w:val="17202A"/>
          <w:sz w:val="20"/>
        </w:rPr>
        <w:t>High reporting volume is not effective monitoring if data are stale, unaudited or disconnected from triggers. Production percentage complete can diverge from cash spent. Receivables aging may hide delivery disputes or conditional payment milestones. Accrued interest can make a current loan look profitable while expected collection and XIRR deteriorate. Informal waivers may prejudice remedies. Servicing systems must distinguish status reporting from verified evidence and show who is responsible for each unresolved exception.</w:t>
      </w:r>
    </w:p>
    <w:p>
      <w:pPr>
        <w:pStyle w:val="Heading2"/>
        <w:spacing w:before="100" w:after="60"/>
      </w:pPr>
      <w:r>
        <w:rPr>
          <w:rFonts w:ascii="Calibri" w:hAnsi="Calibri" w:eastAsia="Calibri"/>
          <w:b/>
          <w:color w:val="2E6E9E"/>
          <w:sz w:val="24"/>
        </w:rPr>
        <w:t>What MediaHedge establishes at closing</w:t>
      </w:r>
    </w:p>
    <w:p>
      <w:pPr>
        <w:pStyle w:val="ListBullet"/>
        <w:spacing w:after="50"/>
        <w:ind w:left="720" w:hanging="360"/>
      </w:pPr>
      <w:r>
        <w:rPr>
          <w:rFonts w:ascii="Calibri" w:hAnsi="Calibri" w:eastAsia="Calibri"/>
          <w:b/>
          <w:color w:val="17202A"/>
          <w:sz w:val="19"/>
        </w:rPr>
        <w:t xml:space="preserve">Baseline and calendar. </w:t>
      </w:r>
      <w:r>
        <w:rPr>
          <w:rFonts w:ascii="Calibri" w:hAnsi="Calibri" w:eastAsia="Calibri"/>
          <w:color w:val="17202A"/>
          <w:sz w:val="19"/>
        </w:rPr>
        <w:t>Set approved budget, schedule, collateral values, maturities, filings, notices and reporting dates.</w:t>
      </w:r>
    </w:p>
    <w:p>
      <w:pPr>
        <w:pStyle w:val="ListBullet"/>
        <w:spacing w:after="50"/>
        <w:ind w:left="720" w:hanging="360"/>
      </w:pPr>
      <w:r>
        <w:rPr>
          <w:rFonts w:ascii="Calibri" w:hAnsi="Calibri" w:eastAsia="Calibri"/>
          <w:b/>
          <w:color w:val="17202A"/>
          <w:sz w:val="19"/>
        </w:rPr>
        <w:t xml:space="preserve">Data and reconciliation. </w:t>
      </w:r>
      <w:r>
        <w:rPr>
          <w:rFonts w:ascii="Calibri" w:hAnsi="Calibri" w:eastAsia="Calibri"/>
          <w:color w:val="17202A"/>
          <w:sz w:val="19"/>
        </w:rPr>
        <w:t>Define source documents, controls, bank matching, subledger logic and exception thresholds.</w:t>
      </w:r>
    </w:p>
    <w:p>
      <w:pPr>
        <w:pStyle w:val="ListBullet"/>
        <w:spacing w:after="50"/>
        <w:ind w:left="720" w:hanging="360"/>
      </w:pPr>
      <w:r>
        <w:rPr>
          <w:rFonts w:ascii="Calibri" w:hAnsi="Calibri" w:eastAsia="Calibri"/>
          <w:b/>
          <w:color w:val="17202A"/>
          <w:sz w:val="19"/>
        </w:rPr>
        <w:t xml:space="preserve">Decision governance. </w:t>
      </w:r>
      <w:r>
        <w:rPr>
          <w:rFonts w:ascii="Calibri" w:hAnsi="Calibri" w:eastAsia="Calibri"/>
          <w:color w:val="17202A"/>
          <w:sz w:val="19"/>
        </w:rPr>
        <w:t>Allocate consent, waiver, draw, reserve, claim, extension and enforcement authority.</w:t>
      </w:r>
    </w:p>
    <w:p>
      <w:pPr>
        <w:pStyle w:val="ListBullet"/>
        <w:spacing w:after="50"/>
        <w:ind w:left="720" w:hanging="360"/>
      </w:pPr>
      <w:r>
        <w:rPr>
          <w:rFonts w:ascii="Calibri" w:hAnsi="Calibri" w:eastAsia="Calibri"/>
          <w:b/>
          <w:color w:val="17202A"/>
          <w:sz w:val="19"/>
        </w:rPr>
        <w:t xml:space="preserve">Continuity. </w:t>
      </w:r>
      <w:r>
        <w:rPr>
          <w:rFonts w:ascii="Calibri" w:hAnsi="Calibri" w:eastAsia="Calibri"/>
          <w:color w:val="17202A"/>
          <w:sz w:val="19"/>
        </w:rPr>
        <w:t>Maintain complete files, audit trails, backup servicing, cybersecurity and investor-accessible reporting.</w:t>
      </w:r>
    </w:p>
    <w:p>
      <w:pPr>
        <w:spacing w:before="100" w:after="0" w:line="250" w:lineRule="auto"/>
        <w:ind w:left="230" w:right="173"/>
        <w:shd w:fill="EAF2F8"/>
        <w:pBdr>
          <w:left w:val="single" w:sz="18" w:space="8" w:color="2E6E9E"/>
        </w:pBdr>
      </w:pPr>
      <w:r>
        <w:rPr>
          <w:rFonts w:ascii="Calibri" w:hAnsi="Calibri" w:eastAsia="Calibri"/>
          <w:b/>
          <w:color w:val="17324D"/>
          <w:sz w:val="18"/>
        </w:rPr>
        <w:t xml:space="preserve">BOTTOM LINE  </w:t>
      </w:r>
      <w:r>
        <w:rPr>
          <w:rFonts w:ascii="Calibri" w:hAnsi="Calibri" w:eastAsia="Calibri"/>
          <w:color w:val="17202A"/>
          <w:sz w:val="18"/>
        </w:rPr>
        <w:t>Servicing is active credit management. MediaHedge protects financiers by maintaining a current view of cost to complete, eligible collateral, cash conversion, covenant status and recovery timing - then linking each material variance to a defined decision right. The value of monitoring is measured by the actions it enables, not the number of reports produced.</w:t>
      </w:r>
    </w:p>
    <w:sectPr w:rsidR="00FC693F" w:rsidRPr="0006063C" w:rsidSect="00034616">
      <w:headerReference w:type="default" r:id="rId11"/>
      <w:footerReference w:type="default" r:id="rId12"/>
      <w:pgSz w:w="12240" w:h="15840"/>
      <w:pgMar w:top="1123" w:right="1267" w:bottom="1037" w:left="1267"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Monitoring and Servicing After Closing  |  Page 1 of 2</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Calibri" w:hAnsi="Calibri" w:eastAsia="Calibri"/>
        <w:color w:val="65727E"/>
        <w:sz w:val="16"/>
      </w:rPr>
      <w:t>Monitoring and Servicing After Closing  |  Page 2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b/>
        <w:color w:val="65727E"/>
        <w:sz w:val="16"/>
      </w:rPr>
      <w:t>MEDIAHEDGE  |  FINANCIER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59" w:lineRule="auto"/>
    </w:pPr>
    <w:rPr>
      <w:rFonts w:ascii="Calibri" w:hAnsi="Calibri"/>
      <w:color w:val="17202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6E9E"/>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54"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54" w:lineRule="auto"/>
      <w:contextualSpacing/>
    </w:pPr>
    <w:rPr>
      <w:rFonts w:ascii="Calibri" w:hAnsi="Calibri"/>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Monitoring and Servicing After Closing</dc:title>
  <dc:subject>How production, collateral and cash surveillance protect capital through repayment</dc:subject>
  <dc:creator>MediaHedge</dc:creator>
  <cp:keywords>MediaHedge, film finance, television finance, private credit, financier brief</cp:keywords>
  <dc:description>generated by python-docx</dc:description>
  <cp:lastModifiedBy/>
  <cp:revision>1</cp:revision>
  <dcterms:created xsi:type="dcterms:W3CDTF">2013-12-23T23:15:00Z</dcterms:created>
  <dcterms:modified xsi:type="dcterms:W3CDTF">2013-12-23T23:15:00Z</dcterms:modified>
  <cp:category/>
</cp:coreProperties>
</file>