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eastAsia="Calibri"/>
          <w:b/>
          <w:color w:val="2E6E9E"/>
          <w:sz w:val="17"/>
        </w:rPr>
        <w:t>PORTFOLIO RISK, EXPLAINED</w:t>
      </w:r>
    </w:p>
    <w:p>
      <w:pPr>
        <w:spacing w:after="40"/>
      </w:pPr>
      <w:r>
        <w:rPr>
          <w:rFonts w:ascii="Calibri" w:hAnsi="Calibri" w:eastAsia="Calibri"/>
          <w:b/>
          <w:color w:val="17324D"/>
          <w:sz w:val="47"/>
        </w:rPr>
        <w:t>Portfolio Construction and Concentration Risk</w:t>
      </w:r>
    </w:p>
    <w:p>
      <w:pPr>
        <w:spacing w:after="160"/>
      </w:pPr>
      <w:r>
        <w:rPr>
          <w:rFonts w:ascii="Calibri" w:hAnsi="Calibri" w:eastAsia="Calibri"/>
          <w:i/>
          <w:color w:val="65727E"/>
          <w:sz w:val="23"/>
        </w:rPr>
        <w:t>How loan-level protections become a resilient media-credit portfolio</w:t>
      </w:r>
    </w:p>
    <w:p>
      <w:pPr>
        <w:spacing w:before="40" w:after="140" w:line="254" w:lineRule="auto"/>
        <w:ind w:left="230" w:right="173"/>
        <w:shd w:fill="EAF2F8"/>
        <w:pBdr>
          <w:left w:val="single" w:sz="18" w:space="8" w:color="2E6E9E"/>
        </w:pBdr>
      </w:pPr>
      <w:r>
        <w:rPr>
          <w:rFonts w:ascii="Calibri" w:hAnsi="Calibri" w:eastAsia="Calibri"/>
          <w:b/>
          <w:color w:val="17324D"/>
          <w:sz w:val="19"/>
        </w:rPr>
        <w:t xml:space="preserve">THE SHORT VERSION  </w:t>
      </w:r>
      <w:r>
        <w:rPr>
          <w:rFonts w:ascii="Calibri" w:hAnsi="Calibri" w:eastAsia="Calibri"/>
          <w:color w:val="17202A"/>
          <w:sz w:val="19"/>
        </w:rPr>
        <w:t>A portfolio of individually sound loans can still be fragile if they depend on the same distributor, tax jurisdiction, completion guarantor, sales agent, producer, platform, collateral type or collection window. MediaHedge portfolio construction should aggregate exposure by common failure driver, set hard and soft limits, preserve maturity liquidity and price only the residual risk that remains after diversification and structural controls.</w:t>
      </w:r>
    </w:p>
    <w:p>
      <w:pPr>
        <w:pStyle w:val="Heading1"/>
        <w:spacing w:before="100" w:after="60"/>
      </w:pPr>
      <w:r>
        <w:rPr>
          <w:rFonts w:ascii="Calibri" w:hAnsi="Calibri" w:eastAsia="Calibri"/>
          <w:b/>
          <w:color w:val="17324D"/>
          <w:sz w:val="30"/>
        </w:rPr>
        <w:t>Why nominal deal count is not diversification</w:t>
      </w:r>
    </w:p>
    <w:p>
      <w:pPr>
        <w:spacing w:after="80"/>
      </w:pPr>
      <w:r>
        <w:rPr>
          <w:rFonts w:ascii="Calibri" w:hAnsi="Calibri" w:eastAsia="Calibri"/>
          <w:i w:val="0"/>
          <w:color w:val="17202A"/>
          <w:sz w:val="20"/>
        </w:rPr>
        <w:t>Several productions may appear unrelated yet share the same streaming buyer, incentive program, bond carrier or market for unsold rights. A labor event, regulatory delay, distributor downgrade or platform retrenchment can therefore impair multiple loans simultaneously. Even different collateral categories within one film may be correlated through completion and delivery. Portfolio analysis must look through transaction labels to the economic factor that causes default, delay or loss.</w:t>
      </w:r>
    </w:p>
    <w:p>
      <w:pPr>
        <w:pStyle w:val="Heading1"/>
        <w:spacing w:before="100" w:after="60"/>
      </w:pPr>
      <w:r>
        <w:rPr>
          <w:rFonts w:ascii="Calibri" w:hAnsi="Calibri" w:eastAsia="Calibri"/>
          <w:b/>
          <w:color w:val="17324D"/>
          <w:sz w:val="30"/>
        </w:rPr>
        <w:t>The five dimensions of portfolio construction</w:t>
      </w:r>
    </w:p>
    <w:p>
      <w:pPr>
        <w:pStyle w:val="ListNumber"/>
        <w:spacing w:after="60"/>
        <w:ind w:left="691" w:hanging="331"/>
      </w:pPr>
      <w:r>
        <w:rPr>
          <w:rFonts w:ascii="Calibri" w:hAnsi="Calibri" w:eastAsia="Calibri"/>
          <w:b/>
          <w:color w:val="17324D"/>
          <w:sz w:val="19"/>
        </w:rPr>
        <w:t xml:space="preserve">Obligor and counterparty. </w:t>
      </w:r>
      <w:r>
        <w:rPr>
          <w:rFonts w:ascii="Calibri" w:hAnsi="Calibri" w:eastAsia="Calibri"/>
          <w:color w:val="17202A"/>
          <w:sz w:val="19"/>
        </w:rPr>
        <w:t>Aggregate distributors, platforms, governments, insurers, guarantors, account banks and related entities.</w:t>
      </w:r>
    </w:p>
    <w:p>
      <w:pPr>
        <w:pStyle w:val="ListNumber"/>
        <w:spacing w:after="60"/>
        <w:ind w:left="691" w:hanging="331"/>
      </w:pPr>
      <w:r>
        <w:rPr>
          <w:rFonts w:ascii="Calibri" w:hAnsi="Calibri" w:eastAsia="Calibri"/>
          <w:b/>
          <w:color w:val="17324D"/>
          <w:sz w:val="19"/>
        </w:rPr>
        <w:t xml:space="preserve">Collateral and structural risk. </w:t>
      </w:r>
      <w:r>
        <w:rPr>
          <w:rFonts w:ascii="Calibri" w:hAnsi="Calibri" w:eastAsia="Calibri"/>
          <w:color w:val="17202A"/>
          <w:sz w:val="19"/>
        </w:rPr>
        <w:t>Measure pre-sale, tax-credit, gap and other exposures by advanced principal and downside contribution.</w:t>
      </w:r>
    </w:p>
    <w:p>
      <w:pPr>
        <w:pStyle w:val="ListNumber"/>
        <w:spacing w:after="60"/>
        <w:ind w:left="691" w:hanging="331"/>
      </w:pPr>
      <w:r>
        <w:rPr>
          <w:rFonts w:ascii="Calibri" w:hAnsi="Calibri" w:eastAsia="Calibri"/>
          <w:b/>
          <w:color w:val="17324D"/>
          <w:sz w:val="19"/>
        </w:rPr>
        <w:t xml:space="preserve">Production ecosystem. </w:t>
      </w:r>
      <w:r>
        <w:rPr>
          <w:rFonts w:ascii="Calibri" w:hAnsi="Calibri" w:eastAsia="Calibri"/>
          <w:color w:val="17202A"/>
          <w:sz w:val="19"/>
        </w:rPr>
        <w:t>Track producers, sales agents, jurisdictions, unions, vendors, genres and completion dependencies.</w:t>
      </w:r>
    </w:p>
    <w:p>
      <w:pPr>
        <w:pStyle w:val="ListNumber"/>
        <w:spacing w:after="60"/>
        <w:ind w:left="691" w:hanging="331"/>
      </w:pPr>
      <w:r>
        <w:rPr>
          <w:rFonts w:ascii="Calibri" w:hAnsi="Calibri" w:eastAsia="Calibri"/>
          <w:b/>
          <w:color w:val="17324D"/>
          <w:sz w:val="19"/>
        </w:rPr>
        <w:t xml:space="preserve">Maturity and liquidity. </w:t>
      </w:r>
      <w:r>
        <w:rPr>
          <w:rFonts w:ascii="Calibri" w:hAnsi="Calibri" w:eastAsia="Calibri"/>
          <w:color w:val="17202A"/>
          <w:sz w:val="19"/>
        </w:rPr>
        <w:t>Stagger expected collections, extensions and funding obligations to avoid cash-flow cliffs.</w:t>
      </w:r>
    </w:p>
    <w:p>
      <w:pPr>
        <w:pStyle w:val="ListNumber"/>
        <w:spacing w:after="60"/>
        <w:ind w:left="691" w:hanging="331"/>
      </w:pPr>
      <w:r>
        <w:rPr>
          <w:rFonts w:ascii="Calibri" w:hAnsi="Calibri" w:eastAsia="Calibri"/>
          <w:b/>
          <w:color w:val="17324D"/>
          <w:sz w:val="19"/>
        </w:rPr>
        <w:t xml:space="preserve">Risk and return cohorts. </w:t>
      </w:r>
      <w:r>
        <w:rPr>
          <w:rFonts w:ascii="Calibri" w:hAnsi="Calibri" w:eastAsia="Calibri"/>
          <w:color w:val="17202A"/>
          <w:sz w:val="19"/>
        </w:rPr>
        <w:t>Compare score, advance rate, pricing, duration, exceptions, delinquency and realized recovery.</w:t>
      </w:r>
    </w:p>
    <w:p>
      <w:pPr>
        <w:pStyle w:val="Heading1"/>
        <w:spacing w:before="100" w:after="60"/>
      </w:pPr>
      <w:r>
        <w:rPr>
          <w:rFonts w:ascii="Calibri" w:hAnsi="Calibri" w:eastAsia="Calibri"/>
          <w:b/>
          <w:color w:val="17324D"/>
          <w:sz w:val="30"/>
        </w:rPr>
        <w:t>How limits and allocation should work</w:t>
      </w:r>
    </w:p>
    <w:p>
      <w:pPr>
        <w:spacing w:after="80"/>
      </w:pPr>
      <w:r>
        <w:rPr>
          <w:rFonts w:ascii="Calibri" w:hAnsi="Calibri" w:eastAsia="Calibri"/>
          <w:i w:val="0"/>
          <w:color w:val="17202A"/>
          <w:sz w:val="20"/>
        </w:rPr>
        <w:t>Each proposed loan is tested on both standalone merit and incremental portfolio impact. Exposure should be measured using current funded principal, committed but undrawn amounts and stressed loss contribution, not only original commitment. Limits can include hard prohibitions, approval thresholds and watch levels. Correlation overlays capture common completion, obligor and market dependencies. Maturity ladders and reserve forecasts test whether collections can fund commitments. Exceptions consume a finite risk budget and should be attributed to the relevant concentration rather than averaged away.</w:t>
      </w:r>
    </w:p>
    <w:p>
      <w:pPr>
        <w:pStyle w:val="Heading1"/>
        <w:spacing w:before="0" w:after="80"/>
      </w:pPr>
      <w:r>
        <w:rPr>
          <w:rFonts w:ascii="Calibri" w:hAnsi="Calibri" w:eastAsia="Calibri"/>
          <w:b/>
          <w:color w:val="17324D"/>
          <w:sz w:val="30"/>
        </w:rPr>
        <w:t>What the financing partner should see</w:t>
      </w:r>
    </w:p>
    <w:p>
      <w:pPr>
        <w:spacing w:after="80"/>
      </w:pPr>
      <w:r>
        <w:rPr>
          <w:rFonts w:ascii="Calibri" w:hAnsi="Calibri" w:eastAsia="Calibri"/>
          <w:i w:val="0"/>
          <w:color w:val="17202A"/>
          <w:sz w:val="20"/>
        </w:rPr>
        <w:t>Investor reporting should provide exposure and availability by obligor, collateral type, jurisdiction, guarantor, producer, vintage, maturity and internal risk tier. It should show top concentrations, limit headroom, watch-list migration, weighted advance rates, expected-loss contribution and return attribution. Approval rights should apply before a concentration breach, while cure plans should define paydown, syndication, hedging, reserve or temporary purchase-suspension options.</w:t>
      </w:r>
    </w:p>
    <w:p>
      <w:pPr>
        <w:sectPr>
          <w:headerReference w:type="default" r:id="rId9"/>
          <w:footerReference w:type="default" r:id="rId10"/>
          <w:pgSz w:w="12240" w:h="15840"/>
          <w:pgMar w:top="1123" w:right="1267" w:bottom="1037" w:left="1267" w:header="490" w:footer="490" w:gutter="0"/>
          <w:cols w:space="720"/>
          <w:docGrid w:linePitch="360"/>
        </w:sectPr>
      </w:pPr>
    </w:p>
    <w:p>
      <w:pPr>
        <w:pStyle w:val="Heading1"/>
        <w:spacing w:before="0" w:after="80"/>
      </w:pPr>
      <w:r>
        <w:rPr>
          <w:rFonts w:ascii="Calibri" w:hAnsi="Calibri" w:eastAsia="Calibri"/>
          <w:b/>
          <w:color w:val="17324D"/>
          <w:sz w:val="30"/>
        </w:rPr>
        <w:t>Concentration map, benefits and diligence</w:t>
      </w:r>
    </w:p>
    <w:p>
      <w:pPr>
        <w:pStyle w:val="Heading2"/>
        <w:spacing w:before="80" w:after="80"/>
      </w:pPr>
      <w:r>
        <w:rPr>
          <w:rFonts w:ascii="Calibri" w:hAnsi="Calibri" w:eastAsia="Calibri"/>
          <w:b/>
          <w:color w:val="2E6E9E"/>
          <w:sz w:val="24"/>
        </w:rPr>
        <w:t>Measure the common failure driver</w:t>
      </w:r>
    </w:p>
    <w:tbl>
      <w:tblPr>
        <w:tblStyle w:val="TableGrid"/>
        <w:tblW w:type="dxa" w:w="9360"/>
        <w:jc w:val="left"/>
        <w:tblLayout w:type="fixed"/>
        <w:tblLook w:firstColumn="1" w:firstRow="1" w:lastColumn="0" w:lastRow="0" w:noHBand="0" w:noVBand="1" w:val="04A0"/>
        <w:tblInd w:w="120" w:type="dxa"/>
      </w:tblPr>
      <w:tblGrid>
        <w:gridCol w:w="2550"/>
        <w:gridCol w:w="2550"/>
        <w:gridCol w:w="4260"/>
      </w:tblGrid>
      <w:tr>
        <w:trPr>
          <w:tblHeader w:val="true"/>
        </w:trPr>
        <w:tc>
          <w:tcPr>
            <w:tcW w:type="dxa" w:w="2550"/>
            <w:vAlign w:val="center"/>
            <w:tcMar>
              <w:top w:w="90" w:type="dxa"/>
              <w:start w:w="120" w:type="dxa"/>
              <w:bottom w:w="90" w:type="dxa"/>
              <w:end w:w="120" w:type="dxa"/>
            </w:tcMar>
            <w:shd w:fill="17324D"/>
          </w:tcPr>
          <w:p>
            <w:pPr>
              <w:spacing w:before="0" w:after="0" w:line="240" w:lineRule="auto"/>
            </w:pPr>
            <w:r>
              <w:rPr>
                <w:rFonts w:ascii="Calibri" w:hAnsi="Calibri" w:eastAsia="Calibri"/>
                <w:b/>
                <w:color w:val="FFFFFF"/>
                <w:sz w:val="17"/>
              </w:rPr>
              <w:t>Dimension</w:t>
            </w:r>
          </w:p>
        </w:tc>
        <w:tc>
          <w:tcPr>
            <w:tcW w:type="dxa" w:w="2550"/>
            <w:vAlign w:val="center"/>
            <w:tcMar>
              <w:top w:w="90" w:type="dxa"/>
              <w:start w:w="120" w:type="dxa"/>
              <w:bottom w:w="90" w:type="dxa"/>
              <w:end w:w="120" w:type="dxa"/>
            </w:tcMar>
            <w:shd w:fill="17324D"/>
          </w:tcPr>
          <w:p>
            <w:pPr>
              <w:spacing w:before="0" w:after="0" w:line="240" w:lineRule="auto"/>
            </w:pPr>
            <w:r>
              <w:rPr>
                <w:rFonts w:ascii="Calibri" w:hAnsi="Calibri" w:eastAsia="Calibri"/>
                <w:b/>
                <w:color w:val="FFFFFF"/>
                <w:sz w:val="17"/>
              </w:rPr>
              <w:t>Financier's question</w:t>
            </w:r>
          </w:p>
        </w:tc>
        <w:tc>
          <w:tcPr>
            <w:tcW w:type="dxa" w:w="4260"/>
            <w:vAlign w:val="center"/>
            <w:tcMar>
              <w:top w:w="90" w:type="dxa"/>
              <w:start w:w="120" w:type="dxa"/>
              <w:bottom w:w="90" w:type="dxa"/>
              <w:end w:w="120" w:type="dxa"/>
            </w:tcMar>
            <w:shd w:fill="17324D"/>
          </w:tcPr>
          <w:p>
            <w:pPr>
              <w:spacing w:before="0" w:after="0" w:line="240" w:lineRule="auto"/>
            </w:pPr>
            <w:r>
              <w:rPr>
                <w:rFonts w:ascii="Calibri" w:hAnsi="Calibri" w:eastAsia="Calibri"/>
                <w:b/>
                <w:color w:val="FFFFFF"/>
                <w:sz w:val="17"/>
              </w:rPr>
              <w:t>Useful measure</w:t>
            </w:r>
          </w:p>
        </w:tc>
      </w:tr>
      <w:tr>
        <w:tc>
          <w:tcPr>
            <w:tcW w:type="dxa" w:w="255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Counterparty</w:t>
            </w:r>
          </w:p>
        </w:tc>
        <w:tc>
          <w:tcPr>
            <w:tcW w:type="dxa" w:w="255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How much fails if one obligor or guarantor fails?</w:t>
            </w:r>
          </w:p>
        </w:tc>
        <w:tc>
          <w:tcPr>
            <w:tcW w:type="dxa" w:w="426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Funded + undrawn exposure, net of enforceable protection.</w:t>
            </w:r>
          </w:p>
        </w:tc>
      </w:tr>
      <w:tr>
        <w:tc>
          <w:tcPr>
            <w:tcW w:type="dxa" w:w="255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Collateral</w:t>
            </w:r>
          </w:p>
        </w:tc>
        <w:tc>
          <w:tcPr>
            <w:tcW w:type="dxa" w:w="255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How much value shares the same downside behavior?</w:t>
            </w:r>
          </w:p>
        </w:tc>
        <w:tc>
          <w:tcPr>
            <w:tcW w:type="dxa" w:w="426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Principal and stressed loss by collateral type and quality.</w:t>
            </w:r>
          </w:p>
        </w:tc>
      </w:tr>
      <w:tr>
        <w:tc>
          <w:tcPr>
            <w:tcW w:type="dxa" w:w="255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Timing</w:t>
            </w:r>
          </w:p>
        </w:tc>
        <w:tc>
          <w:tcPr>
            <w:tcW w:type="dxa" w:w="255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When can delayed receipts create a liquidity gap?</w:t>
            </w:r>
          </w:p>
        </w:tc>
        <w:tc>
          <w:tcPr>
            <w:tcW w:type="dxa" w:w="426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Maturity ladder, extension stress and commitment coverage.</w:t>
            </w:r>
          </w:p>
        </w:tc>
      </w:tr>
      <w:tr>
        <w:tc>
          <w:tcPr>
            <w:tcW w:type="dxa" w:w="255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Exceptions</w:t>
            </w:r>
          </w:p>
        </w:tc>
        <w:tc>
          <w:tcPr>
            <w:tcW w:type="dxa" w:w="255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Is risk accumulating outside normal policy?</w:t>
            </w:r>
          </w:p>
        </w:tc>
        <w:tc>
          <w:tcPr>
            <w:tcW w:type="dxa" w:w="426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Count, principal, severity, rationale and performance by exception.</w:t>
            </w:r>
          </w:p>
        </w:tc>
      </w:tr>
    </w:tbl>
    <w:p>
      <w:pPr>
        <w:pStyle w:val="Heading2"/>
        <w:spacing w:before="140" w:after="60"/>
      </w:pPr>
      <w:r>
        <w:rPr>
          <w:rFonts w:ascii="Calibri" w:hAnsi="Calibri" w:eastAsia="Calibri"/>
          <w:b/>
          <w:color w:val="2E6E9E"/>
          <w:sz w:val="24"/>
        </w:rPr>
        <w:t>Key benefits to a financier</w:t>
      </w:r>
    </w:p>
    <w:p>
      <w:pPr>
        <w:pStyle w:val="ListBullet"/>
        <w:spacing w:after="50"/>
        <w:ind w:left="720" w:hanging="360"/>
      </w:pPr>
      <w:r>
        <w:rPr>
          <w:rFonts w:ascii="Calibri" w:hAnsi="Calibri" w:eastAsia="Calibri"/>
          <w:b/>
          <w:color w:val="17202A"/>
          <w:sz w:val="19"/>
        </w:rPr>
        <w:t xml:space="preserve">Lower tail dependence. </w:t>
      </w:r>
      <w:r>
        <w:rPr>
          <w:rFonts w:ascii="Calibri" w:hAnsi="Calibri" w:eastAsia="Calibri"/>
          <w:color w:val="17202A"/>
          <w:sz w:val="19"/>
        </w:rPr>
        <w:t>Factor-based limits reduce simultaneous impairment from one external event.</w:t>
      </w:r>
    </w:p>
    <w:p>
      <w:pPr>
        <w:pStyle w:val="ListBullet"/>
        <w:spacing w:after="50"/>
        <w:ind w:left="720" w:hanging="360"/>
      </w:pPr>
      <w:r>
        <w:rPr>
          <w:rFonts w:ascii="Calibri" w:hAnsi="Calibri" w:eastAsia="Calibri"/>
          <w:b/>
          <w:color w:val="17202A"/>
          <w:sz w:val="19"/>
        </w:rPr>
        <w:t xml:space="preserve">Better deployment decisions. </w:t>
      </w:r>
      <w:r>
        <w:rPr>
          <w:rFonts w:ascii="Calibri" w:hAnsi="Calibri" w:eastAsia="Calibri"/>
          <w:color w:val="17202A"/>
          <w:sz w:val="19"/>
        </w:rPr>
        <w:t>Incremental risk contribution informs allocation before exposure is booked.</w:t>
      </w:r>
    </w:p>
    <w:p>
      <w:pPr>
        <w:pStyle w:val="ListBullet"/>
        <w:spacing w:after="50"/>
        <w:ind w:left="720" w:hanging="360"/>
      </w:pPr>
      <w:r>
        <w:rPr>
          <w:rFonts w:ascii="Calibri" w:hAnsi="Calibri" w:eastAsia="Calibri"/>
          <w:b/>
          <w:color w:val="17202A"/>
          <w:sz w:val="19"/>
        </w:rPr>
        <w:t xml:space="preserve">Liquidity resilience. </w:t>
      </w:r>
      <w:r>
        <w:rPr>
          <w:rFonts w:ascii="Calibri" w:hAnsi="Calibri" w:eastAsia="Calibri"/>
          <w:color w:val="17202A"/>
          <w:sz w:val="19"/>
        </w:rPr>
        <w:t>Maturity and funding ladders reduce forced asset sales or commitment shortfalls.</w:t>
      </w:r>
    </w:p>
    <w:p>
      <w:pPr>
        <w:pStyle w:val="ListBullet"/>
        <w:spacing w:after="50"/>
        <w:ind w:left="720" w:hanging="360"/>
      </w:pPr>
      <w:r>
        <w:rPr>
          <w:rFonts w:ascii="Calibri" w:hAnsi="Calibri" w:eastAsia="Calibri"/>
          <w:b/>
          <w:color w:val="17202A"/>
          <w:sz w:val="19"/>
        </w:rPr>
        <w:t xml:space="preserve">Risk-adjusted pricing insight. </w:t>
      </w:r>
      <w:r>
        <w:rPr>
          <w:rFonts w:ascii="Calibri" w:hAnsi="Calibri" w:eastAsia="Calibri"/>
          <w:color w:val="17202A"/>
          <w:sz w:val="19"/>
        </w:rPr>
        <w:t>Cohort analysis separates apparent yield from duration, loss and concentration effects.</w:t>
      </w:r>
    </w:p>
    <w:p>
      <w:pPr>
        <w:pStyle w:val="ListBullet"/>
        <w:spacing w:after="50"/>
        <w:ind w:left="720" w:hanging="360"/>
      </w:pPr>
      <w:r>
        <w:rPr>
          <w:rFonts w:ascii="Calibri" w:hAnsi="Calibri" w:eastAsia="Calibri"/>
          <w:b/>
          <w:color w:val="17202A"/>
          <w:sz w:val="19"/>
        </w:rPr>
        <w:t xml:space="preserve">Disciplined exception budget. </w:t>
      </w:r>
      <w:r>
        <w:rPr>
          <w:rFonts w:ascii="Calibri" w:hAnsi="Calibri" w:eastAsia="Calibri"/>
          <w:color w:val="17202A"/>
          <w:sz w:val="19"/>
        </w:rPr>
        <w:t>Nonstandard risk remains visible, finite and attributable to accountable approvals.</w:t>
      </w:r>
    </w:p>
    <w:p>
      <w:pPr>
        <w:pStyle w:val="Heading2"/>
        <w:spacing w:before="120" w:after="60"/>
      </w:pPr>
      <w:r>
        <w:rPr>
          <w:rFonts w:ascii="Calibri" w:hAnsi="Calibri" w:eastAsia="Calibri"/>
          <w:b/>
          <w:color w:val="2E6E9E"/>
          <w:sz w:val="24"/>
        </w:rPr>
        <w:t>Important limits and common risk traps</w:t>
      </w:r>
    </w:p>
    <w:p>
      <w:pPr>
        <w:spacing w:after="80"/>
      </w:pPr>
      <w:r>
        <w:rPr>
          <w:rFonts w:ascii="Calibri" w:hAnsi="Calibri" w:eastAsia="Calibri"/>
          <w:i w:val="0"/>
          <w:color w:val="17202A"/>
          <w:sz w:val="20"/>
        </w:rPr>
        <w:t>Diversification cannot be inferred from title count, borrower SPVs or territorial labels. Gross collateral can overstate protection when repayment sources depend on the same delivery event. Net exposure calculations should credit guaranties or insurance only when enforceable, collectible and not themselves concentrated. Historical zero-loss or low-loss experience may reflect a benign vintage, small sample or unresolved extensions. Correlation rises in stress, and market-value gap collateral may become least liquid when several loans need recovery simultaneously.</w:t>
      </w:r>
    </w:p>
    <w:p>
      <w:pPr>
        <w:pStyle w:val="Heading2"/>
        <w:spacing w:before="100" w:after="60"/>
      </w:pPr>
      <w:r>
        <w:rPr>
          <w:rFonts w:ascii="Calibri" w:hAnsi="Calibri" w:eastAsia="Calibri"/>
          <w:b/>
          <w:color w:val="2E6E9E"/>
          <w:sz w:val="24"/>
        </w:rPr>
        <w:t>What MediaHedge monitors at portfolio level</w:t>
      </w:r>
    </w:p>
    <w:p>
      <w:pPr>
        <w:pStyle w:val="ListBullet"/>
        <w:spacing w:after="50"/>
        <w:ind w:left="720" w:hanging="360"/>
      </w:pPr>
      <w:r>
        <w:rPr>
          <w:rFonts w:ascii="Calibri" w:hAnsi="Calibri" w:eastAsia="Calibri"/>
          <w:b/>
          <w:color w:val="17202A"/>
          <w:sz w:val="19"/>
        </w:rPr>
        <w:t xml:space="preserve">Exposure taxonomy. </w:t>
      </w:r>
      <w:r>
        <w:rPr>
          <w:rFonts w:ascii="Calibri" w:hAnsi="Calibri" w:eastAsia="Calibri"/>
          <w:color w:val="17202A"/>
          <w:sz w:val="19"/>
        </w:rPr>
        <w:t>Maintain stable obligor, affiliate, collateral, jurisdiction, guarantor, producer and risk-factor identifiers.</w:t>
      </w:r>
    </w:p>
    <w:p>
      <w:pPr>
        <w:pStyle w:val="ListBullet"/>
        <w:spacing w:after="50"/>
        <w:ind w:left="720" w:hanging="360"/>
      </w:pPr>
      <w:r>
        <w:rPr>
          <w:rFonts w:ascii="Calibri" w:hAnsi="Calibri" w:eastAsia="Calibri"/>
          <w:b/>
          <w:color w:val="17202A"/>
          <w:sz w:val="19"/>
        </w:rPr>
        <w:t xml:space="preserve">Limit framework. </w:t>
      </w:r>
      <w:r>
        <w:rPr>
          <w:rFonts w:ascii="Calibri" w:hAnsi="Calibri" w:eastAsia="Calibri"/>
          <w:color w:val="17202A"/>
          <w:sz w:val="19"/>
        </w:rPr>
        <w:t>Set calculation rules, thresholds, approval levels, cures and temporary breach procedures.</w:t>
      </w:r>
    </w:p>
    <w:p>
      <w:pPr>
        <w:pStyle w:val="ListBullet"/>
        <w:spacing w:after="50"/>
        <w:ind w:left="720" w:hanging="360"/>
      </w:pPr>
      <w:r>
        <w:rPr>
          <w:rFonts w:ascii="Calibri" w:hAnsi="Calibri" w:eastAsia="Calibri"/>
          <w:b/>
          <w:color w:val="17202A"/>
          <w:sz w:val="19"/>
        </w:rPr>
        <w:t xml:space="preserve">Stress and liquidity. </w:t>
      </w:r>
      <w:r>
        <w:rPr>
          <w:rFonts w:ascii="Calibri" w:hAnsi="Calibri" w:eastAsia="Calibri"/>
          <w:color w:val="17202A"/>
          <w:sz w:val="19"/>
        </w:rPr>
        <w:t>Model common shocks, delayed collections, draw utilization, extensions, loss severity and reserve needs.</w:t>
      </w:r>
    </w:p>
    <w:p>
      <w:pPr>
        <w:pStyle w:val="ListBullet"/>
        <w:spacing w:after="50"/>
        <w:ind w:left="720" w:hanging="360"/>
      </w:pPr>
      <w:r>
        <w:rPr>
          <w:rFonts w:ascii="Calibri" w:hAnsi="Calibri" w:eastAsia="Calibri"/>
          <w:b/>
          <w:color w:val="17202A"/>
          <w:sz w:val="19"/>
        </w:rPr>
        <w:t xml:space="preserve">Performance attribution. </w:t>
      </w:r>
      <w:r>
        <w:rPr>
          <w:rFonts w:ascii="Calibri" w:hAnsi="Calibri" w:eastAsia="Calibri"/>
          <w:color w:val="17202A"/>
          <w:sz w:val="19"/>
        </w:rPr>
        <w:t>Track realized XIRR, multiple, delinquency, recovery and exceptions by meaningful cohort.</w:t>
      </w:r>
    </w:p>
    <w:p>
      <w:pPr>
        <w:spacing w:before="100" w:after="0" w:line="250" w:lineRule="auto"/>
        <w:ind w:left="230" w:right="173"/>
        <w:shd w:fill="EAF2F8"/>
        <w:pBdr>
          <w:left w:val="single" w:sz="18" w:space="8" w:color="2E6E9E"/>
        </w:pBdr>
      </w:pPr>
      <w:r>
        <w:rPr>
          <w:rFonts w:ascii="Calibri" w:hAnsi="Calibri" w:eastAsia="Calibri"/>
          <w:b/>
          <w:color w:val="17324D"/>
          <w:sz w:val="18"/>
        </w:rPr>
        <w:t xml:space="preserve">BOTTOM LINE  </w:t>
      </w:r>
      <w:r>
        <w:rPr>
          <w:rFonts w:ascii="Calibri" w:hAnsi="Calibri" w:eastAsia="Calibri"/>
          <w:color w:val="17202A"/>
          <w:sz w:val="18"/>
        </w:rPr>
        <w:t>Portfolio resilience comes from diversifying economic failure drivers, not merely accumulating more productions. MediaHedge should size each loan within transaction limits, measure its incremental factor exposure, control maturity liquidity and preserve a transparent exception budget. Financiers should receive enough data to connect concentration, expected loss and realized return across the full portfolio.</w:t>
      </w:r>
    </w:p>
    <w:sectPr w:rsidR="00FC693F" w:rsidRPr="0006063C" w:rsidSect="00034616">
      <w:headerReference w:type="default" r:id="rId11"/>
      <w:footerReference w:type="default" r:id="rId12"/>
      <w:pgSz w:w="12240" w:h="15840"/>
      <w:pgMar w:top="1123" w:right="1267" w:bottom="1037" w:left="1267" w:header="49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eastAsia="Calibri"/>
        <w:color w:val="65727E"/>
        <w:sz w:val="16"/>
      </w:rPr>
      <w:t>Portfolio Construction and Concentration Risk  |  Page 1 of 2</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eastAsia="Calibri"/>
        <w:color w:val="65727E"/>
        <w:sz w:val="16"/>
      </w:rPr>
      <w:t>Portfolio Construction and Concentration Risk  |  Page 2 of 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b/>
        <w:color w:val="65727E"/>
        <w:sz w:val="16"/>
      </w:rPr>
      <w:t>MEDIAHEDGE  |  FINANCIER BRIEF</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b/>
        <w:color w:val="65727E"/>
        <w:sz w:val="16"/>
      </w:rPr>
      <w:t>MEDIAHEDGE  |  FINANCIER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9" w:lineRule="auto"/>
    </w:pPr>
    <w:rPr>
      <w:rFonts w:ascii="Calibri" w:hAnsi="Calibri"/>
      <w:color w:val="1720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Calibri" w:hAnsi="Calibri"/>
      <w:b/>
      <w:bCs/>
      <w:color w:val="2E6E9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54" w:lineRule="auto"/>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54" w:lineRule="auto"/>
      <w:contextualSpacing/>
    </w:pPr>
    <w:rPr>
      <w:rFonts w:ascii="Calibri" w:hAnsi="Calibri"/>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Construction and Concentration Risk</dc:title>
  <dc:subject>How loan-level protections become a resilient media-credit portfolio</dc:subject>
  <dc:creator>MediaHedge</dc:creator>
  <cp:keywords>MediaHedge, film finance, television finance, private credit, financier brief</cp:keywords>
  <dc:description>generated by python-docx</dc:description>
  <cp:lastModifiedBy/>
  <cp:revision>1</cp:revision>
  <dcterms:created xsi:type="dcterms:W3CDTF">2013-12-23T23:15:00Z</dcterms:created>
  <dcterms:modified xsi:type="dcterms:W3CDTF">2013-12-23T23:15:00Z</dcterms:modified>
  <cp:category/>
</cp:coreProperties>
</file>