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THE MEDIAHEDGE PROTECTION STACK</w:t>
      </w:r>
    </w:p>
    <w:p>
      <w:pPr>
        <w:spacing w:after="40"/>
      </w:pPr>
      <w:r>
        <w:rPr>
          <w:rFonts w:ascii="Calibri" w:hAnsi="Calibri" w:eastAsia="Calibri"/>
          <w:b/>
          <w:color w:val="17324D"/>
          <w:sz w:val="47"/>
        </w:rPr>
        <w:t>The MediaHedge Protection Stack</w:t>
      </w:r>
    </w:p>
    <w:p>
      <w:pPr>
        <w:spacing w:after="160"/>
      </w:pPr>
      <w:r>
        <w:rPr>
          <w:rFonts w:ascii="Calibri" w:hAnsi="Calibri" w:eastAsia="Calibri"/>
          <w:i/>
          <w:color w:val="65727E"/>
          <w:sz w:val="23"/>
        </w:rPr>
        <w:t>How layered underwriting, collateral control and enforcement protect financing capital</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MediaHedge does not rely on a single guaranty or collateral category. Protection is layered: eligibility screens determine what value can support the loan; conservative advance rates limit exposure; legal documents create priority and control; completion and insurance instruments address defined production risks; monitoring identifies deterioration; and enforcement rights preserve recovery options. Each layer covers a different failure mode.</w:t>
      </w:r>
    </w:p>
    <w:p>
      <w:pPr>
        <w:pStyle w:val="Heading1"/>
        <w:spacing w:before="100" w:after="60"/>
      </w:pPr>
      <w:r>
        <w:rPr>
          <w:rFonts w:ascii="Calibri" w:hAnsi="Calibri" w:eastAsia="Calibri"/>
          <w:b/>
          <w:color w:val="17324D"/>
          <w:sz w:val="30"/>
        </w:rPr>
        <w:t>Why a layered structure is necessary</w:t>
      </w:r>
    </w:p>
    <w:p>
      <w:pPr>
        <w:spacing w:after="80"/>
      </w:pPr>
      <w:r>
        <w:rPr>
          <w:rFonts w:ascii="Calibri" w:hAnsi="Calibri" w:eastAsia="Calibri"/>
          <w:i w:val="0"/>
          <w:color w:val="17202A"/>
          <w:sz w:val="20"/>
        </w:rPr>
        <w:t>Film and television loans fund cash expenditures months before delivery and collection. The repayment assets may include distributor receivables, tax incentives, unsold rights and other contractual proceeds, each with different obligors, conditions and timing. Production risk, delivery risk, obligor credit, documentation defects and cash diversion are therefore separate risks. A strong structure assigns each risk to a specific control and avoids treating a completion bond, insurance policy or high coupon as blanket credit protection.</w:t>
      </w:r>
    </w:p>
    <w:p>
      <w:pPr>
        <w:pStyle w:val="Heading1"/>
        <w:spacing w:before="100" w:after="60"/>
      </w:pPr>
      <w:r>
        <w:rPr>
          <w:rFonts w:ascii="Calibri" w:hAnsi="Calibri" w:eastAsia="Calibri"/>
          <w:b/>
          <w:color w:val="17324D"/>
          <w:sz w:val="30"/>
        </w:rPr>
        <w:t>The five-layer protection architecture</w:t>
      </w:r>
    </w:p>
    <w:p>
      <w:pPr>
        <w:pStyle w:val="ListNumber"/>
        <w:spacing w:after="60"/>
        <w:ind w:left="691" w:hanging="331"/>
      </w:pPr>
      <w:r>
        <w:rPr>
          <w:rFonts w:ascii="Calibri" w:hAnsi="Calibri" w:eastAsia="Calibri"/>
          <w:b/>
          <w:color w:val="17324D"/>
          <w:sz w:val="19"/>
        </w:rPr>
        <w:t xml:space="preserve">Eligibility and verification. </w:t>
      </w:r>
      <w:r>
        <w:rPr>
          <w:rFonts w:ascii="Calibri" w:hAnsi="Calibri" w:eastAsia="Calibri"/>
          <w:color w:val="17202A"/>
          <w:sz w:val="19"/>
        </w:rPr>
        <w:t>Only documented, enforceable and independently supported collateral enters the borrowing base; promotional or contingent value is excluded or discounted.</w:t>
      </w:r>
    </w:p>
    <w:p>
      <w:pPr>
        <w:pStyle w:val="ListNumber"/>
        <w:spacing w:after="60"/>
        <w:ind w:left="691" w:hanging="331"/>
      </w:pPr>
      <w:r>
        <w:rPr>
          <w:rFonts w:ascii="Calibri" w:hAnsi="Calibri" w:eastAsia="Calibri"/>
          <w:b/>
          <w:color w:val="17324D"/>
          <w:sz w:val="19"/>
        </w:rPr>
        <w:t xml:space="preserve">Sizing and structural subordination. </w:t>
      </w:r>
      <w:r>
        <w:rPr>
          <w:rFonts w:ascii="Calibri" w:hAnsi="Calibri" w:eastAsia="Calibri"/>
          <w:color w:val="17202A"/>
          <w:sz w:val="19"/>
        </w:rPr>
        <w:t>Advance rates, LTV limits, concentration caps, reserves and tenor create first-loss protection before pricing is considered.</w:t>
      </w:r>
    </w:p>
    <w:p>
      <w:pPr>
        <w:pStyle w:val="ListNumber"/>
        <w:spacing w:after="60"/>
        <w:ind w:left="691" w:hanging="331"/>
      </w:pPr>
      <w:r>
        <w:rPr>
          <w:rFonts w:ascii="Calibri" w:hAnsi="Calibri" w:eastAsia="Calibri"/>
          <w:b/>
          <w:color w:val="17324D"/>
          <w:sz w:val="19"/>
        </w:rPr>
        <w:t xml:space="preserve">Priority and cash control. </w:t>
      </w:r>
      <w:r>
        <w:rPr>
          <w:rFonts w:ascii="Calibri" w:hAnsi="Calibri" w:eastAsia="Calibri"/>
          <w:color w:val="17202A"/>
          <w:sz w:val="19"/>
        </w:rPr>
        <w:t>Assignments, security interests, lien filings, account control and waterfalls direct collateral proceeds to repayment.</w:t>
      </w:r>
    </w:p>
    <w:p>
      <w:pPr>
        <w:pStyle w:val="ListNumber"/>
        <w:spacing w:after="60"/>
        <w:ind w:left="691" w:hanging="331"/>
      </w:pPr>
      <w:r>
        <w:rPr>
          <w:rFonts w:ascii="Calibri" w:hAnsi="Calibri" w:eastAsia="Calibri"/>
          <w:b/>
          <w:color w:val="17324D"/>
          <w:sz w:val="19"/>
        </w:rPr>
        <w:t xml:space="preserve">Completion and risk transfer. </w:t>
      </w:r>
      <w:r>
        <w:rPr>
          <w:rFonts w:ascii="Calibri" w:hAnsi="Calibri" w:eastAsia="Calibri"/>
          <w:color w:val="17202A"/>
          <w:sz w:val="19"/>
        </w:rPr>
        <w:t>Completion coverage and production insurance address specified delivery and casualty risks, subject to policy terms and exclusions.</w:t>
      </w:r>
    </w:p>
    <w:p>
      <w:pPr>
        <w:pStyle w:val="ListNumber"/>
        <w:spacing w:after="60"/>
        <w:ind w:left="691" w:hanging="331"/>
      </w:pPr>
      <w:r>
        <w:rPr>
          <w:rFonts w:ascii="Calibri" w:hAnsi="Calibri" w:eastAsia="Calibri"/>
          <w:b/>
          <w:color w:val="17324D"/>
          <w:sz w:val="19"/>
        </w:rPr>
        <w:t xml:space="preserve">Surveillance and enforcement. </w:t>
      </w:r>
      <w:r>
        <w:rPr>
          <w:rFonts w:ascii="Calibri" w:hAnsi="Calibri" w:eastAsia="Calibri"/>
          <w:color w:val="17202A"/>
          <w:sz w:val="19"/>
        </w:rPr>
        <w:t>Reporting, covenants, triggers, cure rights, step-in powers and remedies protect value after closing.</w:t>
      </w:r>
    </w:p>
    <w:p>
      <w:pPr>
        <w:pStyle w:val="Heading1"/>
        <w:spacing w:before="100" w:after="60"/>
      </w:pPr>
      <w:r>
        <w:rPr>
          <w:rFonts w:ascii="Calibri" w:hAnsi="Calibri" w:eastAsia="Calibri"/>
          <w:b/>
          <w:color w:val="17324D"/>
          <w:sz w:val="30"/>
        </w:rPr>
        <w:t>How the stack works as one credit system</w:t>
      </w:r>
    </w:p>
    <w:p>
      <w:pPr>
        <w:spacing w:after="80"/>
      </w:pPr>
      <w:r>
        <w:rPr>
          <w:rFonts w:ascii="Calibri" w:hAnsi="Calibri" w:eastAsia="Calibri"/>
          <w:i w:val="0"/>
          <w:color w:val="17202A"/>
          <w:sz w:val="20"/>
        </w:rPr>
        <w:t>Underwriting first converts headline collateral into eligible net value by testing legal enforceability, obligor credit, conditions, deductions and timing. Loan sizing then applies the tightest collateral, concentration, budget and term constraint. At closing, the security package perfects liens and assignments, completion and insurance documents are aligned, and collections are routed through controlled accounts. After funding, MediaHedge monitors production, delivery, receivable conversion and collections. A variance triggers escalation while multiple remedies still exist - not after collateral value has already disappeared.</w:t>
      </w:r>
    </w:p>
    <w:p>
      <w:pPr>
        <w:pStyle w:val="Heading1"/>
        <w:spacing w:before="0" w:after="80"/>
      </w:pPr>
      <w:r>
        <w:rPr>
          <w:rFonts w:ascii="Calibri" w:hAnsi="Calibri" w:eastAsia="Calibri"/>
          <w:b/>
          <w:color w:val="17324D"/>
          <w:sz w:val="30"/>
        </w:rPr>
        <w:t>Where MediaHedge and the financing partner sit</w:t>
      </w:r>
    </w:p>
    <w:p>
      <w:pPr>
        <w:spacing w:after="80"/>
      </w:pPr>
      <w:r>
        <w:rPr>
          <w:rFonts w:ascii="Calibri" w:hAnsi="Calibri" w:eastAsia="Calibri"/>
          <w:i w:val="0"/>
          <w:color w:val="17202A"/>
          <w:sz w:val="20"/>
        </w:rPr>
        <w:t>The financing parties should have clearly documented economic ownership or participation rights, first-priority collateral rights where applicable, direct reporting and audit access, and defined authority over waivers, amendments, workouts and enforcement. Their protection depends on consistency across the loan agreement, interparty arrangements, guaranties, assignments, completion documents, insurance endorsements and account-control instruments. No summary or marketing statement can substitute for the executed closing set.</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Protection mapping, benefits and diligence</w:t>
      </w:r>
    </w:p>
    <w:p>
      <w:pPr>
        <w:pStyle w:val="Heading2"/>
        <w:spacing w:before="80" w:after="80"/>
      </w:pPr>
      <w:r>
        <w:rPr>
          <w:rFonts w:ascii="Calibri" w:hAnsi="Calibri" w:eastAsia="Calibri"/>
          <w:b/>
          <w:color w:val="2E6E9E"/>
          <w:sz w:val="24"/>
        </w:rPr>
        <w:t>Match each risk to the instrument that actually addresses it</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Risk</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test</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Primary protection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Failure to finish</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Can the production be completed and delivered?</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Full financing, contingency, completion guaranty and takeover rights.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Collateral impairment</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Is value enforceable, senior and collectible?</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Eligibility rules, advance rates, assignments, liens and reserves.</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Cash diversion</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Can proceeds bypass the lender?</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Acknowledged payment directions, controlled accounts and waterfall.</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Deterioration/default</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Will problems be identified while remedies remain?</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Reporting, triggers, cure controls, servicing and enforcement plan.</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Failure-mode discipline. </w:t>
      </w:r>
      <w:r>
        <w:rPr>
          <w:rFonts w:ascii="Calibri" w:hAnsi="Calibri" w:eastAsia="Calibri"/>
          <w:color w:val="17202A"/>
          <w:sz w:val="19"/>
        </w:rPr>
        <w:t>Each protection is credited only for the risk and amount it legally covers.</w:t>
      </w:r>
    </w:p>
    <w:p>
      <w:pPr>
        <w:pStyle w:val="ListBullet"/>
        <w:spacing w:after="50"/>
        <w:ind w:left="720" w:hanging="360"/>
      </w:pPr>
      <w:r>
        <w:rPr>
          <w:rFonts w:ascii="Calibri" w:hAnsi="Calibri" w:eastAsia="Calibri"/>
          <w:b/>
          <w:color w:val="17202A"/>
          <w:sz w:val="19"/>
        </w:rPr>
        <w:t xml:space="preserve">Structural downside protection. </w:t>
      </w:r>
      <w:r>
        <w:rPr>
          <w:rFonts w:ascii="Calibri" w:hAnsi="Calibri" w:eastAsia="Calibri"/>
          <w:color w:val="17202A"/>
          <w:sz w:val="19"/>
        </w:rPr>
        <w:t>Conservative exposure and priority reduce reliance on optimistic base-case outcomes.</w:t>
      </w:r>
    </w:p>
    <w:p>
      <w:pPr>
        <w:pStyle w:val="ListBullet"/>
        <w:spacing w:after="50"/>
        <w:ind w:left="720" w:hanging="360"/>
      </w:pPr>
      <w:r>
        <w:rPr>
          <w:rFonts w:ascii="Calibri" w:hAnsi="Calibri" w:eastAsia="Calibri"/>
          <w:b/>
          <w:color w:val="17202A"/>
          <w:sz w:val="19"/>
        </w:rPr>
        <w:t xml:space="preserve">Operational visibility. </w:t>
      </w:r>
      <w:r>
        <w:rPr>
          <w:rFonts w:ascii="Calibri" w:hAnsi="Calibri" w:eastAsia="Calibri"/>
          <w:color w:val="17202A"/>
          <w:sz w:val="19"/>
        </w:rPr>
        <w:t>Production, collateral and cash reporting support earlier intervention and more reliable forecasting.</w:t>
      </w:r>
    </w:p>
    <w:p>
      <w:pPr>
        <w:pStyle w:val="ListBullet"/>
        <w:spacing w:after="50"/>
        <w:ind w:left="720" w:hanging="360"/>
      </w:pPr>
      <w:r>
        <w:rPr>
          <w:rFonts w:ascii="Calibri" w:hAnsi="Calibri" w:eastAsia="Calibri"/>
          <w:b/>
          <w:color w:val="17202A"/>
          <w:sz w:val="19"/>
        </w:rPr>
        <w:t xml:space="preserve">Multiple recovery paths. </w:t>
      </w:r>
      <w:r>
        <w:rPr>
          <w:rFonts w:ascii="Calibri" w:hAnsi="Calibri" w:eastAsia="Calibri"/>
          <w:color w:val="17202A"/>
          <w:sz w:val="19"/>
        </w:rPr>
        <w:t>Contract collections, controlled cash, guaranty rights and collateral remedies can operate in parallel.</w:t>
      </w:r>
    </w:p>
    <w:p>
      <w:pPr>
        <w:pStyle w:val="ListBullet"/>
        <w:spacing w:after="50"/>
        <w:ind w:left="720" w:hanging="360"/>
      </w:pPr>
      <w:r>
        <w:rPr>
          <w:rFonts w:ascii="Calibri" w:hAnsi="Calibri" w:eastAsia="Calibri"/>
          <w:b/>
          <w:color w:val="17202A"/>
          <w:sz w:val="19"/>
        </w:rPr>
        <w:t xml:space="preserve">Portfolio comparability. </w:t>
      </w:r>
      <w:r>
        <w:rPr>
          <w:rFonts w:ascii="Calibri" w:hAnsi="Calibri" w:eastAsia="Calibri"/>
          <w:color w:val="17202A"/>
          <w:sz w:val="19"/>
        </w:rPr>
        <w:t>Consistent eligibility, exception and monitoring rules make transactions easier to aggregate and govern.</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Layering does not eliminate risk, and duplicate documents do not necessarily create independent recovery. Coverage limits, exclusions, intercreditor priority, obligor defenses, unperfected liens, uncontrolled accounts and inconsistent notices can create gaps. A completion bond does not insure distributor solvency, tax-credit realization or commercial performance. Insurance proceeds may be payable only for covered loss. Pricing cannot compensate for ineligible collateral or a broken control structure. Correlated exposures must be assessed at the transaction and portfolio levels.</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Asset eligibility. </w:t>
      </w:r>
      <w:r>
        <w:rPr>
          <w:rFonts w:ascii="Calibri" w:hAnsi="Calibri" w:eastAsia="Calibri"/>
          <w:color w:val="17202A"/>
          <w:sz w:val="19"/>
        </w:rPr>
        <w:t>Reconcile each collateral item to executed evidence, net collectible value, timing and obligor capacity.</w:t>
      </w:r>
    </w:p>
    <w:p>
      <w:pPr>
        <w:pStyle w:val="ListBullet"/>
        <w:spacing w:after="50"/>
        <w:ind w:left="720" w:hanging="360"/>
      </w:pPr>
      <w:r>
        <w:rPr>
          <w:rFonts w:ascii="Calibri" w:hAnsi="Calibri" w:eastAsia="Calibri"/>
          <w:b/>
          <w:color w:val="17202A"/>
          <w:sz w:val="19"/>
        </w:rPr>
        <w:t xml:space="preserve">Structural sizing. </w:t>
      </w:r>
      <w:r>
        <w:rPr>
          <w:rFonts w:ascii="Calibri" w:hAnsi="Calibri" w:eastAsia="Calibri"/>
          <w:color w:val="17202A"/>
          <w:sz w:val="19"/>
        </w:rPr>
        <w:t>Apply the tightest advance, LTV, concentration, budget, reserve and tenor constraint; document exceptions separately.</w:t>
      </w:r>
    </w:p>
    <w:p>
      <w:pPr>
        <w:pStyle w:val="ListBullet"/>
        <w:spacing w:after="50"/>
        <w:ind w:left="720" w:hanging="360"/>
      </w:pPr>
      <w:r>
        <w:rPr>
          <w:rFonts w:ascii="Calibri" w:hAnsi="Calibri" w:eastAsia="Calibri"/>
          <w:b/>
          <w:color w:val="17202A"/>
          <w:sz w:val="19"/>
        </w:rPr>
        <w:t xml:space="preserve">Closing alignment. </w:t>
      </w:r>
      <w:r>
        <w:rPr>
          <w:rFonts w:ascii="Calibri" w:hAnsi="Calibri" w:eastAsia="Calibri"/>
          <w:color w:val="17202A"/>
          <w:sz w:val="19"/>
        </w:rPr>
        <w:t>Confirm priority, assignments, notices, account control, completion coverage, insurance and interparty consistency.</w:t>
      </w:r>
    </w:p>
    <w:p>
      <w:pPr>
        <w:pStyle w:val="ListBullet"/>
        <w:spacing w:after="50"/>
        <w:ind w:left="720" w:hanging="360"/>
      </w:pPr>
      <w:r>
        <w:rPr>
          <w:rFonts w:ascii="Calibri" w:hAnsi="Calibri" w:eastAsia="Calibri"/>
          <w:b/>
          <w:color w:val="17202A"/>
          <w:sz w:val="19"/>
        </w:rPr>
        <w:t xml:space="preserve">Lifecycle readiness. </w:t>
      </w:r>
      <w:r>
        <w:rPr>
          <w:rFonts w:ascii="Calibri" w:hAnsi="Calibri" w:eastAsia="Calibri"/>
          <w:color w:val="17202A"/>
          <w:sz w:val="19"/>
        </w:rPr>
        <w:t>Set reporting, triggers, decision rights, servicing duties, claim procedures and enforcement playbooks before funding.</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The MediaHedge protection stack is a coordinated credit architecture, not a collection of labels. Capital is best protected when eligible value is independently verified, exposure is conservatively sized, legal priority and cash control are operational, risk-transfer instruments are credited narrowly, and surveillance preserves optionality throughout the loan.</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MediaHedge Protection Stack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MediaHedge Protection Stack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MediaHedge Protection Stack</dc:title>
  <dc:subject>How layered underwriting, collateral control and enforcement protect financing capital</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