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THE SECURITY PACKAGE, EXPLAINED</w:t>
      </w:r>
    </w:p>
    <w:p>
      <w:pPr>
        <w:spacing w:after="40"/>
      </w:pPr>
      <w:r>
        <w:rPr>
          <w:rFonts w:ascii="Calibri" w:hAnsi="Calibri" w:eastAsia="Calibri"/>
          <w:b/>
          <w:color w:val="17324D"/>
          <w:sz w:val="47"/>
        </w:rPr>
        <w:t>The MediaHedge Security Package</w:t>
      </w:r>
    </w:p>
    <w:p>
      <w:pPr>
        <w:spacing w:after="160"/>
      </w:pPr>
      <w:r>
        <w:rPr>
          <w:rFonts w:ascii="Calibri" w:hAnsi="Calibri" w:eastAsia="Calibri"/>
          <w:i/>
          <w:color w:val="65727E"/>
          <w:sz w:val="23"/>
        </w:rPr>
        <w:t>How liens, assignments, control rights and interparty documents make collateral enforceable</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Credit analysis identifies repayment value; the security package determines whether the financier can reach it. A MediaHedge transaction should connect the loan obligations to first-priority security interests, collateral assignments, copyright-related filings where appropriate, account control, powers of attorney, notices and interparty acknowledgments. The objective is priority, preservation and practical enforcement - not document volume.</w:t>
      </w:r>
    </w:p>
    <w:p>
      <w:pPr>
        <w:pStyle w:val="Heading1"/>
        <w:spacing w:before="100" w:after="60"/>
      </w:pPr>
      <w:r>
        <w:rPr>
          <w:rFonts w:ascii="Calibri" w:hAnsi="Calibri" w:eastAsia="Calibri"/>
          <w:b/>
          <w:color w:val="17324D"/>
          <w:sz w:val="30"/>
        </w:rPr>
        <w:t>Why film-finance collateral needs specialized documentation</w:t>
      </w:r>
    </w:p>
    <w:p>
      <w:pPr>
        <w:spacing w:after="80"/>
      </w:pPr>
      <w:r>
        <w:rPr>
          <w:rFonts w:ascii="Calibri" w:hAnsi="Calibri" w:eastAsia="Calibri"/>
          <w:i w:val="0"/>
          <w:color w:val="17202A"/>
          <w:sz w:val="20"/>
        </w:rPr>
        <w:t>A production company may own receivables, distribution rights, insurance proceeds, tax incentives, physical and digital materials, contracts and intellectual-property interests across multiple entities and jurisdictions. Payments can be conditional on delivery, and other stakeholders may have competing rights. A generic all-assets lien may be necessary but insufficient. The closing set must identify each repayment asset, perfect the applicable lien, bind critical counterparties and establish who controls cash and decisions when performance deteriorates.</w:t>
      </w:r>
    </w:p>
    <w:p>
      <w:pPr>
        <w:pStyle w:val="Heading1"/>
        <w:spacing w:before="100" w:after="60"/>
      </w:pPr>
      <w:r>
        <w:rPr>
          <w:rFonts w:ascii="Calibri" w:hAnsi="Calibri" w:eastAsia="Calibri"/>
          <w:b/>
          <w:color w:val="17324D"/>
          <w:sz w:val="30"/>
        </w:rPr>
        <w:t>The five-part security architecture</w:t>
      </w:r>
    </w:p>
    <w:p>
      <w:pPr>
        <w:pStyle w:val="ListNumber"/>
        <w:spacing w:after="60"/>
        <w:ind w:left="691" w:hanging="331"/>
      </w:pPr>
      <w:r>
        <w:rPr>
          <w:rFonts w:ascii="Calibri" w:hAnsi="Calibri" w:eastAsia="Calibri"/>
          <w:b/>
          <w:color w:val="17324D"/>
          <w:sz w:val="19"/>
        </w:rPr>
        <w:t xml:space="preserve">Grant of security. </w:t>
      </w:r>
      <w:r>
        <w:rPr>
          <w:rFonts w:ascii="Calibri" w:hAnsi="Calibri" w:eastAsia="Calibri"/>
          <w:color w:val="17202A"/>
          <w:sz w:val="19"/>
        </w:rPr>
        <w:t>The borrower pledges defined assets and proceeds, with representations confirming ownership, authority and absence of undisclosed liens.</w:t>
      </w:r>
    </w:p>
    <w:p>
      <w:pPr>
        <w:pStyle w:val="ListNumber"/>
        <w:spacing w:after="60"/>
        <w:ind w:left="691" w:hanging="331"/>
      </w:pPr>
      <w:r>
        <w:rPr>
          <w:rFonts w:ascii="Calibri" w:hAnsi="Calibri" w:eastAsia="Calibri"/>
          <w:b/>
          <w:color w:val="17324D"/>
          <w:sz w:val="19"/>
        </w:rPr>
        <w:t xml:space="preserve">Perfection and priority. </w:t>
      </w:r>
      <w:r>
        <w:rPr>
          <w:rFonts w:ascii="Calibri" w:hAnsi="Calibri" w:eastAsia="Calibri"/>
          <w:color w:val="17202A"/>
          <w:sz w:val="19"/>
        </w:rPr>
        <w:t>UCC filings, possession or control, copyright-recordation analysis and local-law steps protect priority against third parties.</w:t>
      </w:r>
    </w:p>
    <w:p>
      <w:pPr>
        <w:pStyle w:val="ListNumber"/>
        <w:spacing w:after="60"/>
        <w:ind w:left="691" w:hanging="331"/>
      </w:pPr>
      <w:r>
        <w:rPr>
          <w:rFonts w:ascii="Calibri" w:hAnsi="Calibri" w:eastAsia="Calibri"/>
          <w:b/>
          <w:color w:val="17324D"/>
          <w:sz w:val="19"/>
        </w:rPr>
        <w:t xml:space="preserve">Collateral assignments. </w:t>
      </w:r>
      <w:r>
        <w:rPr>
          <w:rFonts w:ascii="Calibri" w:hAnsi="Calibri" w:eastAsia="Calibri"/>
          <w:color w:val="17202A"/>
          <w:sz w:val="19"/>
        </w:rPr>
        <w:t>Distributor, sales-agent, tax-credit, insurance and material contracts are assigned to the extent legally permitted.</w:t>
      </w:r>
    </w:p>
    <w:p>
      <w:pPr>
        <w:pStyle w:val="ListNumber"/>
        <w:spacing w:after="60"/>
        <w:ind w:left="691" w:hanging="331"/>
      </w:pPr>
      <w:r>
        <w:rPr>
          <w:rFonts w:ascii="Calibri" w:hAnsi="Calibri" w:eastAsia="Calibri"/>
          <w:b/>
          <w:color w:val="17324D"/>
          <w:sz w:val="19"/>
        </w:rPr>
        <w:t xml:space="preserve">Counterparty acknowledgment. </w:t>
      </w:r>
      <w:r>
        <w:rPr>
          <w:rFonts w:ascii="Calibri" w:hAnsi="Calibri" w:eastAsia="Calibri"/>
          <w:color w:val="17202A"/>
          <w:sz w:val="19"/>
        </w:rPr>
        <w:t>Notices establish payment directions, duplicate notices, amendment limits, cure rights and defenses or setoff treatment.</w:t>
      </w:r>
    </w:p>
    <w:p>
      <w:pPr>
        <w:pStyle w:val="ListNumber"/>
        <w:spacing w:after="60"/>
        <w:ind w:left="691" w:hanging="331"/>
      </w:pPr>
      <w:r>
        <w:rPr>
          <w:rFonts w:ascii="Calibri" w:hAnsi="Calibri" w:eastAsia="Calibri"/>
          <w:b/>
          <w:color w:val="17324D"/>
          <w:sz w:val="19"/>
        </w:rPr>
        <w:t xml:space="preserve">Control and enforcement. </w:t>
      </w:r>
      <w:r>
        <w:rPr>
          <w:rFonts w:ascii="Calibri" w:hAnsi="Calibri" w:eastAsia="Calibri"/>
          <w:color w:val="17202A"/>
          <w:sz w:val="19"/>
        </w:rPr>
        <w:t>Account control, powers of attorney, access to materials and step-in rights make remedies operational.</w:t>
      </w:r>
    </w:p>
    <w:p>
      <w:pPr>
        <w:pStyle w:val="Heading1"/>
        <w:spacing w:before="100" w:after="60"/>
      </w:pPr>
      <w:r>
        <w:rPr>
          <w:rFonts w:ascii="Calibri" w:hAnsi="Calibri" w:eastAsia="Calibri"/>
          <w:b/>
          <w:color w:val="17324D"/>
          <w:sz w:val="30"/>
        </w:rPr>
        <w:t>How the package supports recovery</w:t>
      </w:r>
    </w:p>
    <w:p>
      <w:pPr>
        <w:spacing w:after="80"/>
      </w:pPr>
      <w:r>
        <w:rPr>
          <w:rFonts w:ascii="Calibri" w:hAnsi="Calibri" w:eastAsia="Calibri"/>
          <w:i w:val="0"/>
          <w:color w:val="17202A"/>
          <w:sz w:val="20"/>
        </w:rPr>
        <w:t>At closing, the collateral schedule is reconciled to every loaned dollar and every expected repayment source. Counsel determines the correct perfection method for each asset and searches for prior liens. Counterparties receive or acknowledge assignments and payment directions. Cash enters controlled accounts subject to an agreed waterfall. Covenants restrict additional debt, liens, asset transfers and adverse contract changes. Upon a trigger, the lender can preserve collateral, redirect notices and proceeds, cure specified defaults, exercise delegated powers and pursue contractual or secured-party remedies.</w:t>
      </w:r>
    </w:p>
    <w:p>
      <w:pPr>
        <w:pStyle w:val="Heading1"/>
        <w:spacing w:before="0" w:after="80"/>
      </w:pPr>
      <w:r>
        <w:rPr>
          <w:rFonts w:ascii="Calibri" w:hAnsi="Calibri" w:eastAsia="Calibri"/>
          <w:b/>
          <w:color w:val="17324D"/>
          <w:sz w:val="30"/>
        </w:rPr>
        <w:t>Where MediaHedge and the financing partner sit</w:t>
      </w:r>
    </w:p>
    <w:p>
      <w:pPr>
        <w:spacing w:after="80"/>
      </w:pPr>
      <w:r>
        <w:rPr>
          <w:rFonts w:ascii="Calibri" w:hAnsi="Calibri" w:eastAsia="Calibri"/>
          <w:i w:val="0"/>
          <w:color w:val="17202A"/>
          <w:sz w:val="20"/>
        </w:rPr>
        <w:t>Their relative roles must be explicit: lender of record, purchaser, participant, agent, secured party, collateral agent or co-obligee are not interchangeable. The interparty agreement should allocate voting, consent, enforcement, expense, indemnity and recovery-sharing rights. If MediaHedge holds collateral for a financing partner, agency and trust language, segregation of proceeds and replacement-servicer mechanics should prevent an operational failure from impairing the capital partner's rights.</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Priority, benefits and diligence</w:t>
      </w:r>
    </w:p>
    <w:p>
      <w:pPr>
        <w:pStyle w:val="Heading2"/>
        <w:spacing w:before="80" w:after="80"/>
      </w:pPr>
      <w:r>
        <w:rPr>
          <w:rFonts w:ascii="Calibri" w:hAnsi="Calibri" w:eastAsia="Calibri"/>
          <w:b/>
          <w:color w:val="2E6E9E"/>
          <w:sz w:val="24"/>
        </w:rPr>
        <w:t>Instrument-by-instrument purpose</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Instrument</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question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Function</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Security agreement</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What assets secure the obligations?</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Creates lien, covenants and default remedies.</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Filing/control</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Is the lien effective against third parties?</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Perfects priority through filing, possession, control or recordation.</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Assignment/NOA</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Will counterparties recognize payment control?</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Redirects proceeds and supplies notice, cure and amendment rights.</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Interparty/POA</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Who acts and how are remedies exercised?</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Allocates authority, step-in powers, costs and recoveries.</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Priority over competing claims. </w:t>
      </w:r>
      <w:r>
        <w:rPr>
          <w:rFonts w:ascii="Calibri" w:hAnsi="Calibri" w:eastAsia="Calibri"/>
          <w:color w:val="17202A"/>
          <w:sz w:val="19"/>
        </w:rPr>
        <w:t>Proper perfection strengthens the lender position in insolvency and enforcement.</w:t>
      </w:r>
    </w:p>
    <w:p>
      <w:pPr>
        <w:pStyle w:val="ListBullet"/>
        <w:spacing w:after="50"/>
        <w:ind w:left="720" w:hanging="360"/>
      </w:pPr>
      <w:r>
        <w:rPr>
          <w:rFonts w:ascii="Calibri" w:hAnsi="Calibri" w:eastAsia="Calibri"/>
          <w:b/>
          <w:color w:val="17202A"/>
          <w:sz w:val="19"/>
        </w:rPr>
        <w:t xml:space="preserve">Direct access to proceeds. </w:t>
      </w:r>
      <w:r>
        <w:rPr>
          <w:rFonts w:ascii="Calibri" w:hAnsi="Calibri" w:eastAsia="Calibri"/>
          <w:color w:val="17202A"/>
          <w:sz w:val="19"/>
        </w:rPr>
        <w:t>Acknowledged directions and controlled accounts reduce borrower cash-diversion risk.</w:t>
      </w:r>
    </w:p>
    <w:p>
      <w:pPr>
        <w:pStyle w:val="ListBullet"/>
        <w:spacing w:after="50"/>
        <w:ind w:left="720" w:hanging="360"/>
      </w:pPr>
      <w:r>
        <w:rPr>
          <w:rFonts w:ascii="Calibri" w:hAnsi="Calibri" w:eastAsia="Calibri"/>
          <w:b/>
          <w:color w:val="17202A"/>
          <w:sz w:val="19"/>
        </w:rPr>
        <w:t xml:space="preserve">Contract preservation. </w:t>
      </w:r>
      <w:r>
        <w:rPr>
          <w:rFonts w:ascii="Calibri" w:hAnsi="Calibri" w:eastAsia="Calibri"/>
          <w:color w:val="17202A"/>
          <w:sz w:val="19"/>
        </w:rPr>
        <w:t>Notice and cure rights can protect valuable receivables before counterparties terminate.</w:t>
      </w:r>
    </w:p>
    <w:p>
      <w:pPr>
        <w:pStyle w:val="ListBullet"/>
        <w:spacing w:after="50"/>
        <w:ind w:left="720" w:hanging="360"/>
      </w:pPr>
      <w:r>
        <w:rPr>
          <w:rFonts w:ascii="Calibri" w:hAnsi="Calibri" w:eastAsia="Calibri"/>
          <w:b/>
          <w:color w:val="17202A"/>
          <w:sz w:val="19"/>
        </w:rPr>
        <w:t xml:space="preserve">Operational step-in. </w:t>
      </w:r>
      <w:r>
        <w:rPr>
          <w:rFonts w:ascii="Calibri" w:hAnsi="Calibri" w:eastAsia="Calibri"/>
          <w:color w:val="17202A"/>
          <w:sz w:val="19"/>
        </w:rPr>
        <w:t>Powers, materials access and agent authority preserve completion, delivery and collection options.</w:t>
      </w:r>
    </w:p>
    <w:p>
      <w:pPr>
        <w:pStyle w:val="ListBullet"/>
        <w:spacing w:after="50"/>
        <w:ind w:left="720" w:hanging="360"/>
      </w:pPr>
      <w:r>
        <w:rPr>
          <w:rFonts w:ascii="Calibri" w:hAnsi="Calibri" w:eastAsia="Calibri"/>
          <w:b/>
          <w:color w:val="17202A"/>
          <w:sz w:val="19"/>
        </w:rPr>
        <w:t xml:space="preserve">Governance certainty. </w:t>
      </w:r>
      <w:r>
        <w:rPr>
          <w:rFonts w:ascii="Calibri" w:hAnsi="Calibri" w:eastAsia="Calibri"/>
          <w:color w:val="17202A"/>
          <w:sz w:val="19"/>
        </w:rPr>
        <w:t>Interparty rules reduce delay and conflict among financing stakeholders during stress.</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A filed UCC financing statement does not prove ownership, attachment, priority in every asset or control over a deposit account. Copyright recordation, anti-assignment law, government receivable restrictions and foreign perfection may require separate analysis. A notice of assignment may redirect payment without waiving defenses or amendments. Powers of attorney can be limited by law or drafting. Intercreditor subordination, producer liens, unions, guilds, vendors and statutory claims can alter practical recovery. Enforcement value also depends on completing and delivering the project.</w:t>
      </w:r>
    </w:p>
    <w:p>
      <w:pPr>
        <w:pStyle w:val="Heading2"/>
        <w:spacing w:before="100" w:after="60"/>
      </w:pPr>
      <w:r>
        <w:rPr>
          <w:rFonts w:ascii="Calibri" w:hAnsi="Calibri" w:eastAsia="Calibri"/>
          <w:b/>
          <w:color w:val="2E6E9E"/>
          <w:sz w:val="24"/>
        </w:rPr>
        <w:t>What MediaHedge verifies before funding</w:t>
      </w:r>
    </w:p>
    <w:p>
      <w:pPr>
        <w:pStyle w:val="ListBullet"/>
        <w:spacing w:after="50"/>
        <w:ind w:left="720" w:hanging="360"/>
      </w:pPr>
      <w:r>
        <w:rPr>
          <w:rFonts w:ascii="Calibri" w:hAnsi="Calibri" w:eastAsia="Calibri"/>
          <w:b/>
          <w:color w:val="17202A"/>
          <w:sz w:val="19"/>
        </w:rPr>
        <w:t xml:space="preserve">Collateral map. </w:t>
      </w:r>
      <w:r>
        <w:rPr>
          <w:rFonts w:ascii="Calibri" w:hAnsi="Calibri" w:eastAsia="Calibri"/>
          <w:color w:val="17202A"/>
          <w:sz w:val="19"/>
        </w:rPr>
        <w:t>Match each asset, owner, obligor, jurisdiction and proceeds path to the correct security instrument.</w:t>
      </w:r>
    </w:p>
    <w:p>
      <w:pPr>
        <w:pStyle w:val="ListBullet"/>
        <w:spacing w:after="50"/>
        <w:ind w:left="720" w:hanging="360"/>
      </w:pPr>
      <w:r>
        <w:rPr>
          <w:rFonts w:ascii="Calibri" w:hAnsi="Calibri" w:eastAsia="Calibri"/>
          <w:b/>
          <w:color w:val="17202A"/>
          <w:sz w:val="19"/>
        </w:rPr>
        <w:t xml:space="preserve">Perfection and priority. </w:t>
      </w:r>
      <w:r>
        <w:rPr>
          <w:rFonts w:ascii="Calibri" w:hAnsi="Calibri" w:eastAsia="Calibri"/>
          <w:color w:val="17202A"/>
          <w:sz w:val="19"/>
        </w:rPr>
        <w:t>Review searches, releases, filings, control agreements, recordation and local-law opinions.</w:t>
      </w:r>
    </w:p>
    <w:p>
      <w:pPr>
        <w:pStyle w:val="ListBullet"/>
        <w:spacing w:after="50"/>
        <w:ind w:left="720" w:hanging="360"/>
      </w:pPr>
      <w:r>
        <w:rPr>
          <w:rFonts w:ascii="Calibri" w:hAnsi="Calibri" w:eastAsia="Calibri"/>
          <w:b/>
          <w:color w:val="17202A"/>
          <w:sz w:val="19"/>
        </w:rPr>
        <w:t xml:space="preserve">Counterparty terms. </w:t>
      </w:r>
      <w:r>
        <w:rPr>
          <w:rFonts w:ascii="Calibri" w:hAnsi="Calibri" w:eastAsia="Calibri"/>
          <w:color w:val="17202A"/>
          <w:sz w:val="19"/>
        </w:rPr>
        <w:t>Test consent, anti-assignment, setoff, termination, notice, cure and amendment provisions.</w:t>
      </w:r>
    </w:p>
    <w:p>
      <w:pPr>
        <w:pStyle w:val="ListBullet"/>
        <w:spacing w:after="50"/>
        <w:ind w:left="720" w:hanging="360"/>
      </w:pPr>
      <w:r>
        <w:rPr>
          <w:rFonts w:ascii="Calibri" w:hAnsi="Calibri" w:eastAsia="Calibri"/>
          <w:b/>
          <w:color w:val="17202A"/>
          <w:sz w:val="19"/>
        </w:rPr>
        <w:t xml:space="preserve">Enforcement readiness. </w:t>
      </w:r>
      <w:r>
        <w:rPr>
          <w:rFonts w:ascii="Calibri" w:hAnsi="Calibri" w:eastAsia="Calibri"/>
          <w:color w:val="17202A"/>
          <w:sz w:val="19"/>
        </w:rPr>
        <w:t>Confirm decision authority, document custody, access to materials, cost funding and waterfall treatment.</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The security package converts underwriting conclusions into enforceable creditor rights. Its quality is measured by whether the financier has priority, receives information, controls collections, can preserve critical contracts and can act efficiently after a trigger. Every collateral asset needs the right perfection and control method; no single filing or assignment does all of that work.</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MediaHedge Security Package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MediaHedge Security Package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MediaHedge Security Package</dc:title>
  <dc:subject>How liens, assignments, control rights and interparty documents make collateral enforceable</dc:subject>
  <dc:creator>MediaHedge</dc:creator>
  <cp:keywords>MediaHedge, film finance, television finance, private credit, financier brief</cp:keywords>
  <dc:description>generated by python-docx</dc:description>
  <cp:lastModifiedBy/>
  <cp:revision>1</cp:revision>
  <dcterms:created xsi:type="dcterms:W3CDTF">2013-12-23T23:15:00Z</dcterms:created>
  <dcterms:modified xsi:type="dcterms:W3CDTF">2013-12-23T23:15:00Z</dcterms:modified>
  <cp:category/>
</cp:coreProperties>
</file>