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TAX-CREDIT RECEIVABLES, EXPLAINED</w:t>
      </w:r>
    </w:p>
    <w:p>
      <w:pPr>
        <w:spacing w:after="40"/>
      </w:pPr>
      <w:r>
        <w:rPr>
          <w:rFonts w:ascii="Calibri" w:hAnsi="Calibri" w:eastAsia="Calibri"/>
          <w:b/>
          <w:color w:val="17324D"/>
          <w:sz w:val="47"/>
        </w:rPr>
        <w:t>Tax-Credit Receivables as Collateral</w:t>
      </w:r>
    </w:p>
    <w:p>
      <w:pPr>
        <w:spacing w:after="160"/>
      </w:pPr>
      <w:r>
        <w:rPr>
          <w:rFonts w:ascii="Calibri" w:hAnsi="Calibri" w:eastAsia="Calibri"/>
          <w:i/>
          <w:color w:val="65727E"/>
          <w:sz w:val="23"/>
        </w:rPr>
        <w:t>How production incentives are verified, discounted, bridged and collected</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A production tax incentive can become financeable collateral when the project, expenditures and claimant qualify under the governing program and the expected payment or transferable certificate is legally assignable or otherwise captured for the lender. It is not cash at closing. The advance must reflect audit, timing, jurisdiction, eligibility, reduction, transfer and recapture risk. MediaHedge policy currently caps the tax-credit advance at 85% of verified eligible value.</w:t>
      </w:r>
    </w:p>
    <w:p>
      <w:pPr>
        <w:pStyle w:val="Heading1"/>
        <w:spacing w:before="100" w:after="60"/>
      </w:pPr>
      <w:r>
        <w:rPr>
          <w:rFonts w:ascii="Calibri" w:hAnsi="Calibri" w:eastAsia="Calibri"/>
          <w:b/>
          <w:color w:val="17324D"/>
          <w:sz w:val="30"/>
        </w:rPr>
        <w:t>Why tax-credit bridges exist</w:t>
      </w:r>
    </w:p>
    <w:p>
      <w:pPr>
        <w:spacing w:after="80"/>
      </w:pPr>
      <w:r>
        <w:rPr>
          <w:rFonts w:ascii="Calibri" w:hAnsi="Calibri" w:eastAsia="Calibri"/>
          <w:i w:val="0"/>
          <w:color w:val="17202A"/>
          <w:sz w:val="20"/>
        </w:rPr>
        <w:t>Film and television incentives reimburse or monetize qualifying local production spend only after expenditures occur and required filings, audits or certifications are completed. That creates a predictable but delayed source of project capital. A bridge loan converts part of the expected incentive into production liquidity. Unlike sales collateral, repayment is tied primarily to statutory eligibility, verified spend, claimant compliance and government or certificate-buyer processes rather than audience demand - but the receivable remains conditional until the program requirements are satisfied.</w:t>
      </w:r>
    </w:p>
    <w:p>
      <w:pPr>
        <w:pStyle w:val="Heading1"/>
        <w:spacing w:before="100" w:after="60"/>
      </w:pPr>
      <w:r>
        <w:rPr>
          <w:rFonts w:ascii="Calibri" w:hAnsi="Calibri" w:eastAsia="Calibri"/>
          <w:b/>
          <w:color w:val="17324D"/>
          <w:sz w:val="30"/>
        </w:rPr>
        <w:t>The five-part collateral structure</w:t>
      </w:r>
    </w:p>
    <w:p>
      <w:pPr>
        <w:pStyle w:val="ListNumber"/>
        <w:spacing w:after="60"/>
        <w:ind w:left="691" w:hanging="331"/>
      </w:pPr>
      <w:r>
        <w:rPr>
          <w:rFonts w:ascii="Calibri" w:hAnsi="Calibri" w:eastAsia="Calibri"/>
          <w:b/>
          <w:color w:val="17324D"/>
          <w:sz w:val="19"/>
        </w:rPr>
        <w:t xml:space="preserve">Program and claimant eligibility. </w:t>
      </w:r>
      <w:r>
        <w:rPr>
          <w:rFonts w:ascii="Calibri" w:hAnsi="Calibri" w:eastAsia="Calibri"/>
          <w:color w:val="17202A"/>
          <w:sz w:val="19"/>
        </w:rPr>
        <w:t>Counsel and incentive specialists confirm the production entity, project, jurisdiction and expenditure categories qualify.</w:t>
      </w:r>
    </w:p>
    <w:p>
      <w:pPr>
        <w:pStyle w:val="ListNumber"/>
        <w:spacing w:after="60"/>
        <w:ind w:left="691" w:hanging="331"/>
      </w:pPr>
      <w:r>
        <w:rPr>
          <w:rFonts w:ascii="Calibri" w:hAnsi="Calibri" w:eastAsia="Calibri"/>
          <w:b/>
          <w:color w:val="17324D"/>
          <w:sz w:val="19"/>
        </w:rPr>
        <w:t xml:space="preserve">Verified eligible spend. </w:t>
      </w:r>
      <w:r>
        <w:rPr>
          <w:rFonts w:ascii="Calibri" w:hAnsi="Calibri" w:eastAsia="Calibri"/>
          <w:color w:val="17202A"/>
          <w:sz w:val="19"/>
        </w:rPr>
        <w:t>The budget, cost report, payroll and vendor records support a conservative estimate net of excluded or capped costs.</w:t>
      </w:r>
    </w:p>
    <w:p>
      <w:pPr>
        <w:pStyle w:val="ListNumber"/>
        <w:spacing w:after="60"/>
        <w:ind w:left="691" w:hanging="331"/>
      </w:pPr>
      <w:r>
        <w:rPr>
          <w:rFonts w:ascii="Calibri" w:hAnsi="Calibri" w:eastAsia="Calibri"/>
          <w:b/>
          <w:color w:val="17324D"/>
          <w:sz w:val="19"/>
        </w:rPr>
        <w:t xml:space="preserve">Discounted advance. </w:t>
      </w:r>
      <w:r>
        <w:rPr>
          <w:rFonts w:ascii="Calibri" w:hAnsi="Calibri" w:eastAsia="Calibri"/>
          <w:color w:val="17202A"/>
          <w:sz w:val="19"/>
        </w:rPr>
        <w:t>MediaHedge applies an advance of no more than 85% of verified tax-credit value and the tighter transaction-level limits.</w:t>
      </w:r>
    </w:p>
    <w:p>
      <w:pPr>
        <w:pStyle w:val="ListNumber"/>
        <w:spacing w:after="60"/>
        <w:ind w:left="691" w:hanging="331"/>
      </w:pPr>
      <w:r>
        <w:rPr>
          <w:rFonts w:ascii="Calibri" w:hAnsi="Calibri" w:eastAsia="Calibri"/>
          <w:b/>
          <w:color w:val="17324D"/>
          <w:sz w:val="19"/>
        </w:rPr>
        <w:t xml:space="preserve">Assignment and payment capture. </w:t>
      </w:r>
      <w:r>
        <w:rPr>
          <w:rFonts w:ascii="Calibri" w:hAnsi="Calibri" w:eastAsia="Calibri"/>
          <w:color w:val="17202A"/>
          <w:sz w:val="19"/>
        </w:rPr>
        <w:t>Security, notices, collection arrangements and transfer documents route refunds or certificate proceeds to the waterfall.</w:t>
      </w:r>
    </w:p>
    <w:p>
      <w:pPr>
        <w:pStyle w:val="ListNumber"/>
        <w:spacing w:after="60"/>
        <w:ind w:left="691" w:hanging="331"/>
      </w:pPr>
      <w:r>
        <w:rPr>
          <w:rFonts w:ascii="Calibri" w:hAnsi="Calibri" w:eastAsia="Calibri"/>
          <w:b/>
          <w:color w:val="17324D"/>
          <w:sz w:val="19"/>
        </w:rPr>
        <w:t xml:space="preserve">Audit and delivery discipline. </w:t>
      </w:r>
      <w:r>
        <w:rPr>
          <w:rFonts w:ascii="Calibri" w:hAnsi="Calibri" w:eastAsia="Calibri"/>
          <w:color w:val="17202A"/>
          <w:sz w:val="19"/>
        </w:rPr>
        <w:t>Post-close reporting, final cost certification and filing covenants protect the path from production spend to collection.</w:t>
      </w:r>
    </w:p>
    <w:p>
      <w:pPr>
        <w:pStyle w:val="Heading1"/>
        <w:spacing w:before="100" w:after="60"/>
      </w:pPr>
      <w:r>
        <w:rPr>
          <w:rFonts w:ascii="Calibri" w:hAnsi="Calibri" w:eastAsia="Calibri"/>
          <w:b/>
          <w:color w:val="17324D"/>
          <w:sz w:val="30"/>
        </w:rPr>
        <w:t>How a tax-credit bridge works</w:t>
      </w:r>
    </w:p>
    <w:p>
      <w:pPr>
        <w:spacing w:after="80"/>
      </w:pPr>
      <w:r>
        <w:rPr>
          <w:rFonts w:ascii="Calibri" w:hAnsi="Calibri" w:eastAsia="Calibri"/>
          <w:i w:val="0"/>
          <w:color w:val="17202A"/>
          <w:sz w:val="20"/>
        </w:rPr>
        <w:t>Before funding, the expected incentive is rebuilt from the governing statute or program rules, production budget, qualified-spend schedule and professional estimate. Nonqualifying costs, caps, holdbacks, fees, transfer discounts and timing risk reduce eligible value. During production, cost reports and local-spend evidence are tracked against the approved basis. After completion, required audits, applications and certificates are submitted. Refund proceeds or the net sale price of transferable credits then flow to the controlled account and repay principal, interest and permitted fees under the waterfall.</w:t>
      </w:r>
    </w:p>
    <w:p>
      <w:pPr>
        <w:pStyle w:val="Heading1"/>
        <w:spacing w:before="0" w:after="80"/>
      </w:pPr>
      <w:r>
        <w:rPr>
          <w:rFonts w:ascii="Calibri" w:hAnsi="Calibri" w:eastAsia="Calibri"/>
          <w:b/>
          <w:color w:val="17324D"/>
          <w:sz w:val="30"/>
        </w:rPr>
        <w:t>Where MediaHedge and the financing partner sit</w:t>
      </w:r>
    </w:p>
    <w:p>
      <w:pPr>
        <w:spacing w:after="80"/>
      </w:pPr>
      <w:r>
        <w:rPr>
          <w:rFonts w:ascii="Calibri" w:hAnsi="Calibri" w:eastAsia="Calibri"/>
          <w:i w:val="0"/>
          <w:color w:val="17202A"/>
          <w:sz w:val="20"/>
        </w:rPr>
        <w:t>The lender should hold a perfected security interest in the applicable incentive rights and proceeds to the extent permitted, together with covenants that prevent competing transfers or liens. Where direct assignment is restricted, payment control may depend on lockbox arrangements, irrevocable directions, certificate-transfer documentation and ownership of the claimant entity. Local counsel must confirm enforceability because statutory anti-assignment rules and program mechanics vary materially by jurisdiction.</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Bankability, benefits and diligence</w:t>
      </w:r>
    </w:p>
    <w:p>
      <w:pPr>
        <w:pStyle w:val="Heading2"/>
        <w:spacing w:before="80" w:after="80"/>
      </w:pPr>
      <w:r>
        <w:rPr>
          <w:rFonts w:ascii="Calibri" w:hAnsi="Calibri" w:eastAsia="Calibri"/>
          <w:b/>
          <w:color w:val="2E6E9E"/>
          <w:sz w:val="24"/>
        </w:rPr>
        <w:t>From estimated incentive to collected repayment</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Stage</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Core protection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Eligibility</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Do the claimant, project and costs qualify?</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Program opinion, entity review and qualified-spend schedule.</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Valuation</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What is collectible after reductions and costs?</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Independent estimate, caps, exclusions, reserves and transfer discount.</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Perfection</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Can the lender capture the payment legally?</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Security, notices, lockbox/control and jurisdiction-specific counsel.</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Realization</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Will audit, filing and collection occur on time?</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Cost reporting, filing covenants, specialist oversight and long-stop dates.</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Statutory value driver. </w:t>
      </w:r>
      <w:r>
        <w:rPr>
          <w:rFonts w:ascii="Calibri" w:hAnsi="Calibri" w:eastAsia="Calibri"/>
          <w:color w:val="17202A"/>
          <w:sz w:val="19"/>
        </w:rPr>
        <w:t>Repayment is linked to qualifying production activity rather than theatrical or streaming performance.</w:t>
      </w:r>
    </w:p>
    <w:p>
      <w:pPr>
        <w:pStyle w:val="ListBullet"/>
        <w:spacing w:after="50"/>
        <w:ind w:left="720" w:hanging="360"/>
      </w:pPr>
      <w:r>
        <w:rPr>
          <w:rFonts w:ascii="Calibri" w:hAnsi="Calibri" w:eastAsia="Calibri"/>
          <w:b/>
          <w:color w:val="17202A"/>
          <w:sz w:val="19"/>
        </w:rPr>
        <w:t xml:space="preserve">Measurable borrowing base. </w:t>
      </w:r>
      <w:r>
        <w:rPr>
          <w:rFonts w:ascii="Calibri" w:hAnsi="Calibri" w:eastAsia="Calibri"/>
          <w:color w:val="17202A"/>
          <w:sz w:val="19"/>
        </w:rPr>
        <w:t>Qualified spend can be reconciled to budgets, ledgers, payroll and vendor evidence.</w:t>
      </w:r>
    </w:p>
    <w:p>
      <w:pPr>
        <w:pStyle w:val="ListBullet"/>
        <w:spacing w:after="50"/>
        <w:ind w:left="720" w:hanging="360"/>
      </w:pPr>
      <w:r>
        <w:rPr>
          <w:rFonts w:ascii="Calibri" w:hAnsi="Calibri" w:eastAsia="Calibri"/>
          <w:b/>
          <w:color w:val="17202A"/>
          <w:sz w:val="19"/>
        </w:rPr>
        <w:t xml:space="preserve">Structural discount. </w:t>
      </w:r>
      <w:r>
        <w:rPr>
          <w:rFonts w:ascii="Calibri" w:hAnsi="Calibri" w:eastAsia="Calibri"/>
          <w:color w:val="17202A"/>
          <w:sz w:val="19"/>
        </w:rPr>
        <w:t>The 85% policy cap leaves a cushion for audit adjustments, timing and monetization costs.</w:t>
      </w:r>
    </w:p>
    <w:p>
      <w:pPr>
        <w:pStyle w:val="ListBullet"/>
        <w:spacing w:after="50"/>
        <w:ind w:left="720" w:hanging="360"/>
      </w:pPr>
      <w:r>
        <w:rPr>
          <w:rFonts w:ascii="Calibri" w:hAnsi="Calibri" w:eastAsia="Calibri"/>
          <w:b/>
          <w:color w:val="17202A"/>
          <w:sz w:val="19"/>
        </w:rPr>
        <w:t xml:space="preserve">Defined realization path. </w:t>
      </w:r>
      <w:r>
        <w:rPr>
          <w:rFonts w:ascii="Calibri" w:hAnsi="Calibri" w:eastAsia="Calibri"/>
          <w:color w:val="17202A"/>
          <w:sz w:val="19"/>
        </w:rPr>
        <w:t>Applications, audits, certificates and refund or transfer events create observable milestones.</w:t>
      </w:r>
    </w:p>
    <w:p>
      <w:pPr>
        <w:pStyle w:val="ListBullet"/>
        <w:spacing w:after="50"/>
        <w:ind w:left="720" w:hanging="360"/>
      </w:pPr>
      <w:r>
        <w:rPr>
          <w:rFonts w:ascii="Calibri" w:hAnsi="Calibri" w:eastAsia="Calibri"/>
          <w:b/>
          <w:color w:val="17202A"/>
          <w:sz w:val="19"/>
        </w:rPr>
        <w:t xml:space="preserve">Diversifying collateral. </w:t>
      </w:r>
      <w:r>
        <w:rPr>
          <w:rFonts w:ascii="Calibri" w:hAnsi="Calibri" w:eastAsia="Calibri"/>
          <w:color w:val="17202A"/>
          <w:sz w:val="19"/>
        </w:rPr>
        <w:t>Tax incentives can complement distributor and other repayment sources with different obligor dynamics.</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An estimate is not an issued certificate or an unconditional government receivable. Risk includes nonqualifying spend, budget migration, missed local-hire or residency tests, filing defects, audit reductions, program changes, appropriations or processing delays, transfer discounts, claimant tax liabilities, setoff, fraud and recapture. A completion bond ordinarily does not reimburse tax-credit shortfalls. The lender must also distinguish refundable credits, rebates, grants and transferable certificates because ownership, assignment, timing and enforcement differ.</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Legal and program basis. </w:t>
      </w:r>
      <w:r>
        <w:rPr>
          <w:rFonts w:ascii="Calibri" w:hAnsi="Calibri" w:eastAsia="Calibri"/>
          <w:color w:val="17202A"/>
          <w:sz w:val="19"/>
        </w:rPr>
        <w:t>Confirm current rules, claimant standing, transferability, anti-assignment limits and required opinions.</w:t>
      </w:r>
    </w:p>
    <w:p>
      <w:pPr>
        <w:pStyle w:val="ListBullet"/>
        <w:spacing w:after="50"/>
        <w:ind w:left="720" w:hanging="360"/>
      </w:pPr>
      <w:r>
        <w:rPr>
          <w:rFonts w:ascii="Calibri" w:hAnsi="Calibri" w:eastAsia="Calibri"/>
          <w:b/>
          <w:color w:val="17202A"/>
          <w:sz w:val="19"/>
        </w:rPr>
        <w:t xml:space="preserve">Qualified-spend model. </w:t>
      </w:r>
      <w:r>
        <w:rPr>
          <w:rFonts w:ascii="Calibri" w:hAnsi="Calibri" w:eastAsia="Calibri"/>
          <w:color w:val="17202A"/>
          <w:sz w:val="19"/>
        </w:rPr>
        <w:t>Reconcile line items, caps, residency tests, related-party costs, fees, reserves and haircut assumptions.</w:t>
      </w:r>
    </w:p>
    <w:p>
      <w:pPr>
        <w:pStyle w:val="ListBullet"/>
        <w:spacing w:after="50"/>
        <w:ind w:left="720" w:hanging="360"/>
      </w:pPr>
      <w:r>
        <w:rPr>
          <w:rFonts w:ascii="Calibri" w:hAnsi="Calibri" w:eastAsia="Calibri"/>
          <w:b/>
          <w:color w:val="17202A"/>
          <w:sz w:val="19"/>
        </w:rPr>
        <w:t xml:space="preserve">Security and collection. </w:t>
      </w:r>
      <w:r>
        <w:rPr>
          <w:rFonts w:ascii="Calibri" w:hAnsi="Calibri" w:eastAsia="Calibri"/>
          <w:color w:val="17202A"/>
          <w:sz w:val="19"/>
        </w:rPr>
        <w:t>Perfect available rights, block competing transfers and establish a controlled realization route.</w:t>
      </w:r>
    </w:p>
    <w:p>
      <w:pPr>
        <w:pStyle w:val="ListBullet"/>
        <w:spacing w:after="50"/>
        <w:ind w:left="720" w:hanging="360"/>
      </w:pPr>
      <w:r>
        <w:rPr>
          <w:rFonts w:ascii="Calibri" w:hAnsi="Calibri" w:eastAsia="Calibri"/>
          <w:b/>
          <w:color w:val="17202A"/>
          <w:sz w:val="19"/>
        </w:rPr>
        <w:t xml:space="preserve">Execution and surveillance. </w:t>
      </w:r>
      <w:r>
        <w:rPr>
          <w:rFonts w:ascii="Calibri" w:hAnsi="Calibri" w:eastAsia="Calibri"/>
          <w:color w:val="17202A"/>
          <w:sz w:val="19"/>
        </w:rPr>
        <w:t>Track spend, filings, audits, certificates, buyer settlement and expected-versus-actual timing.</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Tax-credit collateral can offer a strong, non-performance-based repayment source, but only after statutory eligibility is translated into a conservative net collectible amount and a legally effective payment-control structure. MediaHedge protects capital through specialist verification, an 85% advance ceiling, transaction-level limits, continuous cost monitoring and controlled collection.</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Tax-Credit Receivables as Collateral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Tax-Credit Receivables as Collateral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Tax-Credit Receivables as Collateral</dc:title>
  <dc:subject>How production incentives are verified, discounted, bridged and collected</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