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LENDER ECONOMICS, EXPLAINED</w:t>
      </w:r>
    </w:p>
    <w:p>
      <w:pPr>
        <w:spacing w:after="40"/>
      </w:pPr>
      <w:r>
        <w:rPr>
          <w:rFonts w:ascii="Calibri" w:hAnsi="Calibri" w:eastAsia="Calibri"/>
          <w:b/>
          <w:color w:val="17324D"/>
          <w:sz w:val="47"/>
        </w:rPr>
        <w:t>Where the Financier's Return Comes From</w:t>
      </w:r>
    </w:p>
    <w:p>
      <w:pPr>
        <w:spacing w:after="160"/>
      </w:pPr>
      <w:r>
        <w:rPr>
          <w:rFonts w:ascii="Calibri" w:hAnsi="Calibri" w:eastAsia="Calibri"/>
          <w:i/>
          <w:color w:val="65727E"/>
          <w:sz w:val="23"/>
        </w:rPr>
        <w:t>How coupon, fees, duration, cash timing and credit outcomes translate into realized performance</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stated interest rate is not the financier's realized return. MediaHedge loan economics may include contractual coupon, original-issue discount or closing fees, extension and default pricing, and the timing of principal and interest collections. Finance experts should evaluate principal-weighted coupon, cash-on-cash multiple, XIRR, expected loss, servicing and recovery expense, unused-capital drag and duration - with actual loan-tape cash flows controlling portfolio conclusions.</w:t>
      </w:r>
    </w:p>
    <w:p>
      <w:pPr>
        <w:pStyle w:val="Heading1"/>
        <w:spacing w:before="100" w:after="60"/>
      </w:pPr>
      <w:r>
        <w:rPr>
          <w:rFonts w:ascii="Calibri" w:hAnsi="Calibri" w:eastAsia="Calibri"/>
          <w:b/>
          <w:color w:val="17324D"/>
          <w:sz w:val="30"/>
        </w:rPr>
        <w:t>Why headline yield can mislead</w:t>
      </w:r>
    </w:p>
    <w:p>
      <w:pPr>
        <w:spacing w:after="80"/>
      </w:pPr>
      <w:r>
        <w:rPr>
          <w:rFonts w:ascii="Calibri" w:hAnsi="Calibri" w:eastAsia="Calibri"/>
          <w:i w:val="0"/>
          <w:color w:val="17202A"/>
          <w:sz w:val="20"/>
        </w:rPr>
        <w:t>Two loans with the same stated coupon can produce different returns if one funds in draws, prepays early, extends, capitalizes interest, collects fees upfront or experiences a delayed recovery. Blended rates can also overstate economics when calculated as simple averages rather than weighted by funded principal and time. Film-finance cash flows are short-duration but irregular, making date-accurate modeling essential. Return analysis must remain separate from collateral eligibility and approval: price compensates for accepted risk; it does not make weak structure sound.</w:t>
      </w:r>
    </w:p>
    <w:p>
      <w:pPr>
        <w:pStyle w:val="Heading1"/>
        <w:spacing w:before="100" w:after="60"/>
      </w:pPr>
      <w:r>
        <w:rPr>
          <w:rFonts w:ascii="Calibri" w:hAnsi="Calibri" w:eastAsia="Calibri"/>
          <w:b/>
          <w:color w:val="17324D"/>
          <w:sz w:val="30"/>
        </w:rPr>
        <w:t>The five components of lender return</w:t>
      </w:r>
    </w:p>
    <w:p>
      <w:pPr>
        <w:pStyle w:val="ListNumber"/>
        <w:spacing w:after="60"/>
        <w:ind w:left="691" w:hanging="331"/>
      </w:pPr>
      <w:r>
        <w:rPr>
          <w:rFonts w:ascii="Calibri" w:hAnsi="Calibri" w:eastAsia="Calibri"/>
          <w:b/>
          <w:color w:val="17324D"/>
          <w:sz w:val="19"/>
        </w:rPr>
        <w:t xml:space="preserve">Contractual coupon. </w:t>
      </w:r>
      <w:r>
        <w:rPr>
          <w:rFonts w:ascii="Calibri" w:hAnsi="Calibri" w:eastAsia="Calibri"/>
          <w:color w:val="17202A"/>
          <w:sz w:val="19"/>
        </w:rPr>
        <w:t>Interest accrues on the defined balance under actual day-count, payment and compounding terms.</w:t>
      </w:r>
    </w:p>
    <w:p>
      <w:pPr>
        <w:pStyle w:val="ListNumber"/>
        <w:spacing w:after="60"/>
        <w:ind w:left="691" w:hanging="331"/>
      </w:pPr>
      <w:r>
        <w:rPr>
          <w:rFonts w:ascii="Calibri" w:hAnsi="Calibri" w:eastAsia="Calibri"/>
          <w:b/>
          <w:color w:val="17324D"/>
          <w:sz w:val="19"/>
        </w:rPr>
        <w:t xml:space="preserve">Upfront economics. </w:t>
      </w:r>
      <w:r>
        <w:rPr>
          <w:rFonts w:ascii="Calibri" w:hAnsi="Calibri" w:eastAsia="Calibri"/>
          <w:color w:val="17202A"/>
          <w:sz w:val="19"/>
        </w:rPr>
        <w:t>OID, commitment, closing or structuring fees affect net funded capital and must be attributed consistently.</w:t>
      </w:r>
    </w:p>
    <w:p>
      <w:pPr>
        <w:pStyle w:val="ListNumber"/>
        <w:spacing w:after="60"/>
        <w:ind w:left="691" w:hanging="331"/>
      </w:pPr>
      <w:r>
        <w:rPr>
          <w:rFonts w:ascii="Calibri" w:hAnsi="Calibri" w:eastAsia="Calibri"/>
          <w:b/>
          <w:color w:val="17324D"/>
          <w:sz w:val="19"/>
        </w:rPr>
        <w:t xml:space="preserve">Duration and timing. </w:t>
      </w:r>
      <w:r>
        <w:rPr>
          <w:rFonts w:ascii="Calibri" w:hAnsi="Calibri" w:eastAsia="Calibri"/>
          <w:color w:val="17202A"/>
          <w:sz w:val="19"/>
        </w:rPr>
        <w:t>Draw dates, amortization, prepayment and maturity determine how quickly capital is returned and redeployed.</w:t>
      </w:r>
    </w:p>
    <w:p>
      <w:pPr>
        <w:pStyle w:val="ListNumber"/>
        <w:spacing w:after="60"/>
        <w:ind w:left="691" w:hanging="331"/>
      </w:pPr>
      <w:r>
        <w:rPr>
          <w:rFonts w:ascii="Calibri" w:hAnsi="Calibri" w:eastAsia="Calibri"/>
          <w:b/>
          <w:color w:val="17324D"/>
          <w:sz w:val="19"/>
        </w:rPr>
        <w:t xml:space="preserve">Stress economics. </w:t>
      </w:r>
      <w:r>
        <w:rPr>
          <w:rFonts w:ascii="Calibri" w:hAnsi="Calibri" w:eastAsia="Calibri"/>
          <w:color w:val="17202A"/>
          <w:sz w:val="19"/>
        </w:rPr>
        <w:t>Extension fees, default interest, nonaccrual and recovery timing change both nominal income and XIRR.</w:t>
      </w:r>
    </w:p>
    <w:p>
      <w:pPr>
        <w:pStyle w:val="ListNumber"/>
        <w:spacing w:after="60"/>
        <w:ind w:left="691" w:hanging="331"/>
      </w:pPr>
      <w:r>
        <w:rPr>
          <w:rFonts w:ascii="Calibri" w:hAnsi="Calibri" w:eastAsia="Calibri"/>
          <w:b/>
          <w:color w:val="17324D"/>
          <w:sz w:val="19"/>
        </w:rPr>
        <w:t xml:space="preserve">Net portfolio realization. </w:t>
      </w:r>
      <w:r>
        <w:rPr>
          <w:rFonts w:ascii="Calibri" w:hAnsi="Calibri" w:eastAsia="Calibri"/>
          <w:color w:val="17202A"/>
          <w:sz w:val="19"/>
        </w:rPr>
        <w:t>Expected loss, servicing costs, legal expenses, idle cash and leverage determine investor-level return.</w:t>
      </w:r>
    </w:p>
    <w:p>
      <w:pPr>
        <w:pStyle w:val="Heading1"/>
        <w:spacing w:before="100" w:after="60"/>
      </w:pPr>
      <w:r>
        <w:rPr>
          <w:rFonts w:ascii="Calibri" w:hAnsi="Calibri" w:eastAsia="Calibri"/>
          <w:b/>
          <w:color w:val="17324D"/>
          <w:sz w:val="30"/>
        </w:rPr>
        <w:t>How to calculate the economics correctly</w:t>
      </w:r>
    </w:p>
    <w:p>
      <w:pPr>
        <w:spacing w:after="80"/>
      </w:pPr>
      <w:r>
        <w:rPr>
          <w:rFonts w:ascii="Calibri" w:hAnsi="Calibri" w:eastAsia="Calibri"/>
          <w:i w:val="0"/>
          <w:color w:val="17202A"/>
          <w:sz w:val="20"/>
        </w:rPr>
        <w:t>Build a dated cash-flow ledger from the financier's perspective: negative amounts for purchases, advances and expenses; positive amounts for principal, interest and fee receipts. XIRR measures annualized timing-sensitive return, while multiple measures total cash returned relative to invested capital. Accrued but unpaid interest should be separated from cash yield and placed on nonaccrual when collectibility is doubtful. Portfolio coupon should be weighted by funded principal and time. Expected return should incorporate probability of default, loss severity, recovery delay and servicing or enforcement cost.</w:t>
      </w:r>
    </w:p>
    <w:p>
      <w:pPr>
        <w:pStyle w:val="Heading1"/>
        <w:spacing w:before="0" w:after="80"/>
      </w:pPr>
      <w:r>
        <w:rPr>
          <w:rFonts w:ascii="Calibri" w:hAnsi="Calibri" w:eastAsia="Calibri"/>
          <w:b/>
          <w:color w:val="17324D"/>
          <w:sz w:val="30"/>
        </w:rPr>
        <w:t>How MediaHedge and the capital partner divide economics</w:t>
      </w:r>
    </w:p>
    <w:p>
      <w:pPr>
        <w:spacing w:after="80"/>
      </w:pPr>
      <w:r>
        <w:rPr>
          <w:rFonts w:ascii="Calibri" w:hAnsi="Calibri" w:eastAsia="Calibri"/>
          <w:i w:val="0"/>
          <w:color w:val="17202A"/>
          <w:sz w:val="20"/>
        </w:rPr>
        <w:t>Forward-flow documents should specify purchase price, ownership of coupon and fees, servicing compensation, extension and default economics, expense reimbursement, prepayment treatment and recovery allocations. The capital partner should be able to reconcile borrower-level cash to account receipts, waterfall distributions and its own investment ledger. Any retained spread or fee must be transparent so gross loan yield, financier gross return and financier net return are not conflated.</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Return metrics, benefits and diligence</w:t>
      </w:r>
    </w:p>
    <w:p>
      <w:pPr>
        <w:pStyle w:val="Heading2"/>
        <w:spacing w:before="80" w:after="80"/>
      </w:pPr>
      <w:r>
        <w:rPr>
          <w:rFonts w:ascii="Calibri" w:hAnsi="Calibri" w:eastAsia="Calibri"/>
          <w:b/>
          <w:color w:val="2E6E9E"/>
          <w:sz w:val="24"/>
        </w:rPr>
        <w:t>Use the metric that answers the economic question</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Metric</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Interpretation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Principal-weighted coupon</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What rate is charged on funded exposure?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Contract rate weighted by balance and applicable period.</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XIRR</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What annualized return follows actual cash dates?</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Timing-sensitive realized or forecast lender return.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Cash multiple</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How much cash returns per dollar invested?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Total receipts divided by total invested capital.</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EL-adjusted return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What remains after credit and workout costs?</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Yield less expected loss, delay, servicing and recovery burden.</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Short-duration yield. </w:t>
      </w:r>
      <w:r>
        <w:rPr>
          <w:rFonts w:ascii="Calibri" w:hAnsi="Calibri" w:eastAsia="Calibri"/>
          <w:color w:val="17202A"/>
          <w:sz w:val="19"/>
        </w:rPr>
        <w:t>Contract collections can return capital faster than long-dated media equity investments.</w:t>
      </w:r>
    </w:p>
    <w:p>
      <w:pPr>
        <w:pStyle w:val="ListBullet"/>
        <w:spacing w:after="50"/>
        <w:ind w:left="720" w:hanging="360"/>
      </w:pPr>
      <w:r>
        <w:rPr>
          <w:rFonts w:ascii="Calibri" w:hAnsi="Calibri" w:eastAsia="Calibri"/>
          <w:b/>
          <w:color w:val="17202A"/>
          <w:sz w:val="19"/>
        </w:rPr>
        <w:t xml:space="preserve">Contractual economics. </w:t>
      </w:r>
      <w:r>
        <w:rPr>
          <w:rFonts w:ascii="Calibri" w:hAnsi="Calibri" w:eastAsia="Calibri"/>
          <w:color w:val="17202A"/>
          <w:sz w:val="19"/>
        </w:rPr>
        <w:t>Return is primarily determined by loan terms and repayment timing rather than backend success.</w:t>
      </w:r>
    </w:p>
    <w:p>
      <w:pPr>
        <w:pStyle w:val="ListBullet"/>
        <w:spacing w:after="50"/>
        <w:ind w:left="720" w:hanging="360"/>
      </w:pPr>
      <w:r>
        <w:rPr>
          <w:rFonts w:ascii="Calibri" w:hAnsi="Calibri" w:eastAsia="Calibri"/>
          <w:b/>
          <w:color w:val="17202A"/>
          <w:sz w:val="19"/>
        </w:rPr>
        <w:t xml:space="preserve">Multiple pricing levers. </w:t>
      </w:r>
      <w:r>
        <w:rPr>
          <w:rFonts w:ascii="Calibri" w:hAnsi="Calibri" w:eastAsia="Calibri"/>
          <w:color w:val="17202A"/>
          <w:sz w:val="19"/>
        </w:rPr>
        <w:t>Coupon, fees, reserves, advance rate and tenor can be tailored to accepted risk.</w:t>
      </w:r>
    </w:p>
    <w:p>
      <w:pPr>
        <w:pStyle w:val="ListBullet"/>
        <w:spacing w:after="50"/>
        <w:ind w:left="720" w:hanging="360"/>
      </w:pPr>
      <w:r>
        <w:rPr>
          <w:rFonts w:ascii="Calibri" w:hAnsi="Calibri" w:eastAsia="Calibri"/>
          <w:b/>
          <w:color w:val="17202A"/>
          <w:sz w:val="19"/>
        </w:rPr>
        <w:t xml:space="preserve">Observable cash conversion. </w:t>
      </w:r>
      <w:r>
        <w:rPr>
          <w:rFonts w:ascii="Calibri" w:hAnsi="Calibri" w:eastAsia="Calibri"/>
          <w:color w:val="17202A"/>
          <w:sz w:val="19"/>
        </w:rPr>
        <w:t>Controlled collections allow borrower cash flows to be matched to lender realization.</w:t>
      </w:r>
    </w:p>
    <w:p>
      <w:pPr>
        <w:pStyle w:val="ListBullet"/>
        <w:spacing w:after="50"/>
        <w:ind w:left="720" w:hanging="360"/>
      </w:pPr>
      <w:r>
        <w:rPr>
          <w:rFonts w:ascii="Calibri" w:hAnsi="Calibri" w:eastAsia="Calibri"/>
          <w:b/>
          <w:color w:val="17202A"/>
          <w:sz w:val="19"/>
        </w:rPr>
        <w:t xml:space="preserve">Portfolio optimization. </w:t>
      </w:r>
      <w:r>
        <w:rPr>
          <w:rFonts w:ascii="Calibri" w:hAnsi="Calibri" w:eastAsia="Calibri"/>
          <w:color w:val="17202A"/>
          <w:sz w:val="19"/>
        </w:rPr>
        <w:t>Date-accurate metrics support comparison by collateral, obligor, vintage, duration and risk cohort.</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A simple average of loan rates is not a portfolio yield. Upfront fees may inflate annualized return on very short loans, while extensions may raise nominal interest but reduce XIRR. Capitalized interest is exposure, not cash income. Default interest may be legally due yet uncollectible. Gross borrower yield excludes servicing, legal expense, credit loss, financing cost and idle-cash drag. MOIC ignores time; IRR can overreward early small receipts. Model assumptions should be reconciled to actual loan-tape cash dates and documented fee ownership.</w:t>
      </w:r>
    </w:p>
    <w:p>
      <w:pPr>
        <w:pStyle w:val="Heading2"/>
        <w:spacing w:before="100" w:after="60"/>
      </w:pPr>
      <w:r>
        <w:rPr>
          <w:rFonts w:ascii="Calibri" w:hAnsi="Calibri" w:eastAsia="Calibri"/>
          <w:b/>
          <w:color w:val="2E6E9E"/>
          <w:sz w:val="24"/>
        </w:rPr>
        <w:t>What MediaHedge reports to financiers</w:t>
      </w:r>
    </w:p>
    <w:p>
      <w:pPr>
        <w:pStyle w:val="ListBullet"/>
        <w:spacing w:after="50"/>
        <w:ind w:left="720" w:hanging="360"/>
      </w:pPr>
      <w:r>
        <w:rPr>
          <w:rFonts w:ascii="Calibri" w:hAnsi="Calibri" w:eastAsia="Calibri"/>
          <w:b/>
          <w:color w:val="17202A"/>
          <w:sz w:val="19"/>
        </w:rPr>
        <w:t xml:space="preserve">Loan-level cash ledger. </w:t>
      </w:r>
      <w:r>
        <w:rPr>
          <w:rFonts w:ascii="Calibri" w:hAnsi="Calibri" w:eastAsia="Calibri"/>
          <w:color w:val="17202A"/>
          <w:sz w:val="19"/>
        </w:rPr>
        <w:t>Show dated advances, repayments, fees, accrued interest, cash interest and expenses.</w:t>
      </w:r>
    </w:p>
    <w:p>
      <w:pPr>
        <w:pStyle w:val="ListBullet"/>
        <w:spacing w:after="50"/>
        <w:ind w:left="720" w:hanging="360"/>
      </w:pPr>
      <w:r>
        <w:rPr>
          <w:rFonts w:ascii="Calibri" w:hAnsi="Calibri" w:eastAsia="Calibri"/>
          <w:b/>
          <w:color w:val="17202A"/>
          <w:sz w:val="19"/>
        </w:rPr>
        <w:t xml:space="preserve">Economic definitions. </w:t>
      </w:r>
      <w:r>
        <w:rPr>
          <w:rFonts w:ascii="Calibri" w:hAnsi="Calibri" w:eastAsia="Calibri"/>
          <w:color w:val="17202A"/>
          <w:sz w:val="19"/>
        </w:rPr>
        <w:t>Standardize balance, day count, fee treatment, nonaccrual, charge-off and recovery recognition.</w:t>
      </w:r>
    </w:p>
    <w:p>
      <w:pPr>
        <w:pStyle w:val="ListBullet"/>
        <w:spacing w:after="50"/>
        <w:ind w:left="720" w:hanging="360"/>
      </w:pPr>
      <w:r>
        <w:rPr>
          <w:rFonts w:ascii="Calibri" w:hAnsi="Calibri" w:eastAsia="Calibri"/>
          <w:b/>
          <w:color w:val="17202A"/>
          <w:sz w:val="19"/>
        </w:rPr>
        <w:t xml:space="preserve">Risk-adjusted forecast. </w:t>
      </w:r>
      <w:r>
        <w:rPr>
          <w:rFonts w:ascii="Calibri" w:hAnsi="Calibri" w:eastAsia="Calibri"/>
          <w:color w:val="17202A"/>
          <w:sz w:val="19"/>
        </w:rPr>
        <w:t>Model prepayment, extension, default, loss severity, recovery timing and cost scenarios.</w:t>
      </w:r>
    </w:p>
    <w:p>
      <w:pPr>
        <w:pStyle w:val="ListBullet"/>
        <w:spacing w:after="50"/>
        <w:ind w:left="720" w:hanging="360"/>
      </w:pPr>
      <w:r>
        <w:rPr>
          <w:rFonts w:ascii="Calibri" w:hAnsi="Calibri" w:eastAsia="Calibri"/>
          <w:b/>
          <w:color w:val="17202A"/>
          <w:sz w:val="19"/>
        </w:rPr>
        <w:t xml:space="preserve">Portfolio attribution. </w:t>
      </w:r>
      <w:r>
        <w:rPr>
          <w:rFonts w:ascii="Calibri" w:hAnsi="Calibri" w:eastAsia="Calibri"/>
          <w:color w:val="17202A"/>
          <w:sz w:val="19"/>
        </w:rPr>
        <w:t>Separate gross loan yield, MediaHedge compensation, financier return and capital/funding effects.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The financier's return comes from contractual cash actually realized, on the dates it is realized, net of credit and operating frictions. MediaHedge should therefore report principal-weighted coupon, cash multiple, XIRR and expected-loss-adjusted return from auditable loan-level cash flows. High pricing is valuable only when principal protection and collection discipline remain intact.</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Where the Financier's Return Comes From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Where the Financier's Return Comes From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Financier's Return Comes From</dc:title>
  <dc:subject>How coupon, fees, duration, cash timing and credit outcomes translate into realized performance</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