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2E6E9E"/>
          <w:sz w:val="17"/>
        </w:rPr>
        <w:t>FULL FINANCING, EXPLAINED</w:t>
      </w:r>
    </w:p>
    <w:p>
      <w:pPr>
        <w:spacing w:after="40"/>
      </w:pPr>
      <w:r>
        <w:rPr>
          <w:rFonts w:ascii="Calibri" w:hAnsi="Calibri" w:eastAsia="Calibri"/>
          <w:b/>
          <w:color w:val="17324D"/>
          <w:sz w:val="47"/>
        </w:rPr>
        <w:t>Why a Production Must Be Fully Financed</w:t>
      </w:r>
    </w:p>
    <w:p>
      <w:pPr>
        <w:spacing w:after="160"/>
      </w:pPr>
      <w:r>
        <w:rPr>
          <w:rFonts w:ascii="Calibri" w:hAnsi="Calibri" w:eastAsia="Calibri"/>
          <w:i/>
          <w:color w:val="65727E"/>
          <w:sz w:val="23"/>
        </w:rPr>
        <w:t>Why verified sources, complete uses and contingency are prerequisites to credit protection</w:t>
      </w:r>
    </w:p>
    <w:p>
      <w:pPr>
        <w:spacing w:before="40" w:after="140" w:line="254" w:lineRule="auto"/>
        <w:ind w:left="230" w:right="173"/>
        <w:shd w:fill="EAF2F8"/>
        <w:pBdr>
          <w:left w:val="single" w:sz="18" w:space="8" w:color="2E6E9E"/>
        </w:pBdr>
      </w:pPr>
      <w:r>
        <w:rPr>
          <w:rFonts w:ascii="Calibri" w:hAnsi="Calibri" w:eastAsia="Calibri"/>
          <w:b/>
          <w:color w:val="17324D"/>
          <w:sz w:val="19"/>
        </w:rPr>
        <w:t xml:space="preserve">THE SHORT VERSION  </w:t>
      </w:r>
      <w:r>
        <w:rPr>
          <w:rFonts w:ascii="Calibri" w:hAnsi="Calibri" w:eastAsia="Calibri"/>
          <w:color w:val="17202A"/>
          <w:sz w:val="19"/>
        </w:rPr>
        <w:t>A production loan is protected only if the project can reach contractual delivery. Before funding, verified financing sources plus committed equity must cover the complete production and delivery budget, financing costs, required reserves and contingency. An unfunded budget gap is not merely sponsor risk: it can strand every lender repayment asset by preventing completion, delivery, incentive qualification and distributor acceptance.</w:t>
      </w:r>
    </w:p>
    <w:p>
      <w:pPr>
        <w:pStyle w:val="Heading1"/>
        <w:spacing w:before="100" w:after="60"/>
      </w:pPr>
      <w:r>
        <w:rPr>
          <w:rFonts w:ascii="Calibri" w:hAnsi="Calibri" w:eastAsia="Calibri"/>
          <w:b/>
          <w:color w:val="17324D"/>
          <w:sz w:val="30"/>
        </w:rPr>
        <w:t>Why completion is the common dependency</w:t>
      </w:r>
    </w:p>
    <w:p>
      <w:pPr>
        <w:spacing w:after="80"/>
      </w:pPr>
      <w:r>
        <w:rPr>
          <w:rFonts w:ascii="Calibri" w:hAnsi="Calibri" w:eastAsia="Calibri"/>
          <w:i w:val="0"/>
          <w:color w:val="17202A"/>
          <w:sz w:val="20"/>
        </w:rPr>
        <w:t>Pre-sale MGs commonly become payable after conforming delivery; tax incentives depend on qualifying expenditures and filings; unsold rights are typically monetized after completion; and completion guarantors assume a fully financed bonded budget. If cash runs out, all of those repayment paths can deteriorate at once. The financier must therefore underwrite the sources-and-uses plan as a credit control, not as a production-management appendix.</w:t>
      </w:r>
    </w:p>
    <w:p>
      <w:pPr>
        <w:pStyle w:val="Heading1"/>
        <w:spacing w:before="100" w:after="60"/>
      </w:pPr>
      <w:r>
        <w:rPr>
          <w:rFonts w:ascii="Calibri" w:hAnsi="Calibri" w:eastAsia="Calibri"/>
          <w:b/>
          <w:color w:val="17324D"/>
          <w:sz w:val="30"/>
        </w:rPr>
        <w:t>The five-part full-financing test</w:t>
      </w:r>
    </w:p>
    <w:p>
      <w:pPr>
        <w:pStyle w:val="ListNumber"/>
        <w:spacing w:after="60"/>
        <w:ind w:left="691" w:hanging="331"/>
      </w:pPr>
      <w:r>
        <w:rPr>
          <w:rFonts w:ascii="Calibri" w:hAnsi="Calibri" w:eastAsia="Calibri"/>
          <w:b/>
          <w:color w:val="17324D"/>
          <w:sz w:val="19"/>
        </w:rPr>
        <w:t xml:space="preserve">Complete uses. </w:t>
      </w:r>
      <w:r>
        <w:rPr>
          <w:rFonts w:ascii="Calibri" w:hAnsi="Calibri" w:eastAsia="Calibri"/>
          <w:color w:val="17202A"/>
          <w:sz w:val="19"/>
        </w:rPr>
        <w:t>Include production, post-production, delivery, bond and insurance premiums, financing costs, reserves and contingency.</w:t>
      </w:r>
    </w:p>
    <w:p>
      <w:pPr>
        <w:pStyle w:val="ListNumber"/>
        <w:spacing w:after="60"/>
        <w:ind w:left="691" w:hanging="331"/>
      </w:pPr>
      <w:r>
        <w:rPr>
          <w:rFonts w:ascii="Calibri" w:hAnsi="Calibri" w:eastAsia="Calibri"/>
          <w:b/>
          <w:color w:val="17324D"/>
          <w:sz w:val="19"/>
        </w:rPr>
        <w:t xml:space="preserve">Verified sources. </w:t>
      </w:r>
      <w:r>
        <w:rPr>
          <w:rFonts w:ascii="Calibri" w:hAnsi="Calibri" w:eastAsia="Calibri"/>
          <w:color w:val="17202A"/>
          <w:sz w:val="19"/>
        </w:rPr>
        <w:t>Distinguish funded cash, binding commitments, eligible debt, committed equity and conditional or speculative sources.</w:t>
      </w:r>
    </w:p>
    <w:p>
      <w:pPr>
        <w:pStyle w:val="ListNumber"/>
        <w:spacing w:after="60"/>
        <w:ind w:left="691" w:hanging="331"/>
      </w:pPr>
      <w:r>
        <w:rPr>
          <w:rFonts w:ascii="Calibri" w:hAnsi="Calibri" w:eastAsia="Calibri"/>
          <w:b/>
          <w:color w:val="17324D"/>
          <w:sz w:val="19"/>
        </w:rPr>
        <w:t xml:space="preserve">Timing match. </w:t>
      </w:r>
      <w:r>
        <w:rPr>
          <w:rFonts w:ascii="Calibri" w:hAnsi="Calibri" w:eastAsia="Calibri"/>
          <w:color w:val="17202A"/>
          <w:sz w:val="19"/>
        </w:rPr>
        <w:t>A cash-flow schedule proves funds arrive before payroll, vendors and delivery costs become due.</w:t>
      </w:r>
    </w:p>
    <w:p>
      <w:pPr>
        <w:pStyle w:val="ListNumber"/>
        <w:spacing w:after="60"/>
        <w:ind w:left="691" w:hanging="331"/>
      </w:pPr>
      <w:r>
        <w:rPr>
          <w:rFonts w:ascii="Calibri" w:hAnsi="Calibri" w:eastAsia="Calibri"/>
          <w:b/>
          <w:color w:val="17324D"/>
          <w:sz w:val="19"/>
        </w:rPr>
        <w:t xml:space="preserve">Contingency and overage plan. </w:t>
      </w:r>
      <w:r>
        <w:rPr>
          <w:rFonts w:ascii="Calibri" w:hAnsi="Calibri" w:eastAsia="Calibri"/>
          <w:color w:val="17202A"/>
          <w:sz w:val="19"/>
        </w:rPr>
        <w:t>Contingency, guarantor oversight and contractual overage responsibility address execution variance.</w:t>
      </w:r>
    </w:p>
    <w:p>
      <w:pPr>
        <w:pStyle w:val="ListNumber"/>
        <w:spacing w:after="60"/>
        <w:ind w:left="691" w:hanging="331"/>
      </w:pPr>
      <w:r>
        <w:rPr>
          <w:rFonts w:ascii="Calibri" w:hAnsi="Calibri" w:eastAsia="Calibri"/>
          <w:b/>
          <w:color w:val="17324D"/>
          <w:sz w:val="19"/>
        </w:rPr>
        <w:t xml:space="preserve">Controlled disbursement. </w:t>
      </w:r>
      <w:r>
        <w:rPr>
          <w:rFonts w:ascii="Calibri" w:hAnsi="Calibri" w:eastAsia="Calibri"/>
          <w:color w:val="17202A"/>
          <w:sz w:val="19"/>
        </w:rPr>
        <w:t>Budgeted draws, cost reports and variance approvals keep loan proceeds aligned with completion.</w:t>
      </w:r>
    </w:p>
    <w:p>
      <w:pPr>
        <w:pStyle w:val="Heading1"/>
        <w:spacing w:before="100" w:after="60"/>
      </w:pPr>
      <w:r>
        <w:rPr>
          <w:rFonts w:ascii="Calibri" w:hAnsi="Calibri" w:eastAsia="Calibri"/>
          <w:b/>
          <w:color w:val="17324D"/>
          <w:sz w:val="30"/>
        </w:rPr>
        <w:t>How the test protects collateral</w:t>
      </w:r>
    </w:p>
    <w:p>
      <w:pPr>
        <w:spacing w:after="80"/>
      </w:pPr>
      <w:r>
        <w:rPr>
          <w:rFonts w:ascii="Calibri" w:hAnsi="Calibri" w:eastAsia="Calibri"/>
          <w:i w:val="0"/>
          <w:color w:val="17202A"/>
          <w:sz w:val="20"/>
        </w:rPr>
        <w:t>MediaHedge reconciles the final budget, cash-flow schedule, financing plan and loan closing statement. Only available, enforceable and properly timed sources receive credit. Producer deferrals, future fundraising, uncontracted sales, disputed receivables and recoverable tax amounts that arrive after production do not fund an immediate cash need unless separately bridged. The financing closes only when all conditions and equity-first requirements are satisfied, required reserves are funded, and completion coverage is effective on the same budget and delivery specification.</w:t>
      </w:r>
    </w:p>
    <w:p>
      <w:pPr>
        <w:pStyle w:val="Heading1"/>
        <w:spacing w:before="0" w:after="80"/>
      </w:pPr>
      <w:r>
        <w:rPr>
          <w:rFonts w:ascii="Calibri" w:hAnsi="Calibri" w:eastAsia="Calibri"/>
          <w:b/>
          <w:color w:val="17324D"/>
          <w:sz w:val="30"/>
        </w:rPr>
        <w:t>Where the financier gains protection</w:t>
      </w:r>
    </w:p>
    <w:p>
      <w:pPr>
        <w:spacing w:after="80"/>
      </w:pPr>
      <w:r>
        <w:rPr>
          <w:rFonts w:ascii="Calibri" w:hAnsi="Calibri" w:eastAsia="Calibri"/>
          <w:i w:val="0"/>
          <w:color w:val="17202A"/>
          <w:sz w:val="20"/>
        </w:rPr>
        <w:t>The lender should have conditions precedent requiring evidence of every source, equity contributions, bond effectiveness, approved budget and cash-flow schedule. Draw conditions should test no default, budget compliance, remaining cost to complete and sufficiency of undisbursed funds. Material budget reallocations, new deferrals, sponsor withdrawals or reserve use should require consent. These controls reduce the risk that the lender is forced into an unplanned protective advance merely to preserve existing collateral.</w:t>
      </w:r>
    </w:p>
    <w:p>
      <w:pPr>
        <w:sectPr>
          <w:headerReference w:type="default" r:id="rId9"/>
          <w:footerReference w:type="default" r:id="rId10"/>
          <w:pgSz w:w="12240" w:h="15840"/>
          <w:pgMar w:top="1123" w:right="1267" w:bottom="1037" w:left="1267" w:header="490" w:footer="490" w:gutter="0"/>
          <w:cols w:space="720"/>
          <w:docGrid w:linePitch="360"/>
        </w:sectPr>
      </w:pPr>
    </w:p>
    <w:p>
      <w:pPr>
        <w:pStyle w:val="Heading1"/>
        <w:spacing w:before="0" w:after="80"/>
      </w:pPr>
      <w:r>
        <w:rPr>
          <w:rFonts w:ascii="Calibri" w:hAnsi="Calibri" w:eastAsia="Calibri"/>
          <w:b/>
          <w:color w:val="17324D"/>
          <w:sz w:val="30"/>
        </w:rPr>
        <w:t>Funding sufficiency, benefits and diligence</w:t>
      </w:r>
    </w:p>
    <w:p>
      <w:pPr>
        <w:pStyle w:val="Heading2"/>
        <w:spacing w:before="80" w:after="80"/>
      </w:pPr>
      <w:r>
        <w:rPr>
          <w:rFonts w:ascii="Calibri" w:hAnsi="Calibri" w:eastAsia="Calibri"/>
          <w:b/>
          <w:color w:val="2E6E9E"/>
          <w:sz w:val="24"/>
        </w:rPr>
        <w:t>The sources-and-uses proof</w:t>
      </w:r>
    </w:p>
    <w:tbl>
      <w:tblPr>
        <w:tblStyle w:val="TableGrid"/>
        <w:tblW w:type="dxa" w:w="9360"/>
        <w:jc w:val="left"/>
        <w:tblLayout w:type="fixed"/>
        <w:tblLook w:firstColumn="1" w:firstRow="1" w:lastColumn="0" w:lastRow="0" w:noHBand="0" w:noVBand="1" w:val="04A0"/>
        <w:tblInd w:w="120" w:type="dxa"/>
      </w:tblPr>
      <w:tblGrid>
        <w:gridCol w:w="2550"/>
        <w:gridCol w:w="2550"/>
        <w:gridCol w:w="4260"/>
      </w:tblGrid>
      <w:tr>
        <w:trPr>
          <w:tblHeader w:val="true"/>
        </w:trPr>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Test</w:t>
            </w:r>
          </w:p>
        </w:tc>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Financier's question</w:t>
            </w:r>
          </w:p>
        </w:tc>
        <w:tc>
          <w:tcPr>
            <w:tcW w:type="dxa" w:w="426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Required evidence</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Completeness</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Does the budget include every cost through delivery?</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Approved budget, delivery schedule, premiums, fees and reserves.</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Availability</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Are financing sources binding and drawable?</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Executed commitments, funded equity and satisfied conditions.</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Timing</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Will cash arrive before each use is payable?</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Weekly/monthly cash flow, draw schedule and liquidity cushion.</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Resilience</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Can the plan absorb ordinary variance?</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Contingency, overage responsibility and completion oversight.</w:t>
            </w:r>
          </w:p>
        </w:tc>
      </w:tr>
    </w:tbl>
    <w:p>
      <w:pPr>
        <w:pStyle w:val="Heading2"/>
        <w:spacing w:before="140" w:after="60"/>
      </w:pPr>
      <w:r>
        <w:rPr>
          <w:rFonts w:ascii="Calibri" w:hAnsi="Calibri" w:eastAsia="Calibri"/>
          <w:b/>
          <w:color w:val="2E6E9E"/>
          <w:sz w:val="24"/>
        </w:rPr>
        <w:t>Key benefits to a financier</w:t>
      </w:r>
    </w:p>
    <w:p>
      <w:pPr>
        <w:pStyle w:val="ListBullet"/>
        <w:spacing w:after="50"/>
        <w:ind w:left="720" w:hanging="360"/>
      </w:pPr>
      <w:r>
        <w:rPr>
          <w:rFonts w:ascii="Calibri" w:hAnsi="Calibri" w:eastAsia="Calibri"/>
          <w:b/>
          <w:color w:val="17202A"/>
          <w:sz w:val="19"/>
        </w:rPr>
        <w:t xml:space="preserve">Preserved repayment assets. </w:t>
      </w:r>
      <w:r>
        <w:rPr>
          <w:rFonts w:ascii="Calibri" w:hAnsi="Calibri" w:eastAsia="Calibri"/>
          <w:color w:val="17202A"/>
          <w:sz w:val="19"/>
        </w:rPr>
        <w:t>Completion and delivery keep MG, tax-credit and unsold-rights realization paths alive.</w:t>
      </w:r>
    </w:p>
    <w:p>
      <w:pPr>
        <w:pStyle w:val="ListBullet"/>
        <w:spacing w:after="50"/>
        <w:ind w:left="720" w:hanging="360"/>
      </w:pPr>
      <w:r>
        <w:rPr>
          <w:rFonts w:ascii="Calibri" w:hAnsi="Calibri" w:eastAsia="Calibri"/>
          <w:b/>
          <w:color w:val="17202A"/>
          <w:sz w:val="19"/>
        </w:rPr>
        <w:t xml:space="preserve">Lower protective-advance risk. </w:t>
      </w:r>
      <w:r>
        <w:rPr>
          <w:rFonts w:ascii="Calibri" w:hAnsi="Calibri" w:eastAsia="Calibri"/>
          <w:color w:val="17202A"/>
          <w:sz w:val="19"/>
        </w:rPr>
        <w:t>Committed liquidity reduces the chance lenders must fund unexpected overages.</w:t>
      </w:r>
    </w:p>
    <w:p>
      <w:pPr>
        <w:pStyle w:val="ListBullet"/>
        <w:spacing w:after="50"/>
        <w:ind w:left="720" w:hanging="360"/>
      </w:pPr>
      <w:r>
        <w:rPr>
          <w:rFonts w:ascii="Calibri" w:hAnsi="Calibri" w:eastAsia="Calibri"/>
          <w:b/>
          <w:color w:val="17202A"/>
          <w:sz w:val="19"/>
        </w:rPr>
        <w:t xml:space="preserve">More reliable maturity. </w:t>
      </w:r>
      <w:r>
        <w:rPr>
          <w:rFonts w:ascii="Calibri" w:hAnsi="Calibri" w:eastAsia="Calibri"/>
          <w:color w:val="17202A"/>
          <w:sz w:val="19"/>
        </w:rPr>
        <w:t>Cash-flow timing links production milestones to delivery and collection assumptions.</w:t>
      </w:r>
    </w:p>
    <w:p>
      <w:pPr>
        <w:pStyle w:val="ListBullet"/>
        <w:spacing w:after="50"/>
        <w:ind w:left="720" w:hanging="360"/>
      </w:pPr>
      <w:r>
        <w:rPr>
          <w:rFonts w:ascii="Calibri" w:hAnsi="Calibri" w:eastAsia="Calibri"/>
          <w:b/>
          <w:color w:val="17202A"/>
          <w:sz w:val="19"/>
        </w:rPr>
        <w:t xml:space="preserve">Completion-bond effectiveness. </w:t>
      </w:r>
      <w:r>
        <w:rPr>
          <w:rFonts w:ascii="Calibri" w:hAnsi="Calibri" w:eastAsia="Calibri"/>
          <w:color w:val="17202A"/>
          <w:sz w:val="19"/>
        </w:rPr>
        <w:t>A fully financed strike price and approved budget support guarantor obligations.</w:t>
      </w:r>
    </w:p>
    <w:p>
      <w:pPr>
        <w:pStyle w:val="ListBullet"/>
        <w:spacing w:after="50"/>
        <w:ind w:left="720" w:hanging="360"/>
      </w:pPr>
      <w:r>
        <w:rPr>
          <w:rFonts w:ascii="Calibri" w:hAnsi="Calibri" w:eastAsia="Calibri"/>
          <w:b/>
          <w:color w:val="17202A"/>
          <w:sz w:val="19"/>
        </w:rPr>
        <w:t xml:space="preserve">Clear sponsor alignment. </w:t>
      </w:r>
      <w:r>
        <w:rPr>
          <w:rFonts w:ascii="Calibri" w:hAnsi="Calibri" w:eastAsia="Calibri"/>
          <w:color w:val="17202A"/>
          <w:sz w:val="19"/>
        </w:rPr>
        <w:t>Funded equity, contingency and overage duties make risk allocation observable at closing.</w:t>
      </w:r>
    </w:p>
    <w:p>
      <w:pPr>
        <w:pStyle w:val="Heading2"/>
        <w:spacing w:before="120" w:after="60"/>
      </w:pPr>
      <w:r>
        <w:rPr>
          <w:rFonts w:ascii="Calibri" w:hAnsi="Calibri" w:eastAsia="Calibri"/>
          <w:b/>
          <w:color w:val="2E6E9E"/>
          <w:sz w:val="24"/>
        </w:rPr>
        <w:t>Important limits and common risk traps</w:t>
      </w:r>
    </w:p>
    <w:p>
      <w:pPr>
        <w:spacing w:after="80"/>
      </w:pPr>
      <w:r>
        <w:rPr>
          <w:rFonts w:ascii="Calibri" w:hAnsi="Calibri" w:eastAsia="Calibri"/>
          <w:i w:val="0"/>
          <w:color w:val="17202A"/>
          <w:sz w:val="20"/>
        </w:rPr>
        <w:t>A balanced sources-and-uses table can still be illusory if sources are conditional, delayed, circular or double counted. Gross budget may omit delivery, financing or reserve costs. Equity may be documented but not funded, and deferrals can become blocking claims. Contingency can be consumed early, leaving no cushion for post-production. A completion bond does not cure a financing package that fails its conditions or excludes required costs. The analysis must address both total sufficiency and the week-by-week cash trough.</w:t>
      </w:r>
    </w:p>
    <w:p>
      <w:pPr>
        <w:pStyle w:val="Heading2"/>
        <w:spacing w:before="100" w:after="60"/>
      </w:pPr>
      <w:r>
        <w:rPr>
          <w:rFonts w:ascii="Calibri" w:hAnsi="Calibri" w:eastAsia="Calibri"/>
          <w:b/>
          <w:color w:val="2E6E9E"/>
          <w:sz w:val="24"/>
        </w:rPr>
        <w:t>What MediaHedge verifies before funding</w:t>
      </w:r>
    </w:p>
    <w:p>
      <w:pPr>
        <w:pStyle w:val="ListBullet"/>
        <w:spacing w:after="50"/>
        <w:ind w:left="720" w:hanging="360"/>
      </w:pPr>
      <w:r>
        <w:rPr>
          <w:rFonts w:ascii="Calibri" w:hAnsi="Calibri" w:eastAsia="Calibri"/>
          <w:b/>
          <w:color w:val="17202A"/>
          <w:sz w:val="19"/>
        </w:rPr>
        <w:t xml:space="preserve">Final uses. </w:t>
      </w:r>
      <w:r>
        <w:rPr>
          <w:rFonts w:ascii="Calibri" w:hAnsi="Calibri" w:eastAsia="Calibri"/>
          <w:color w:val="17202A"/>
          <w:sz w:val="19"/>
        </w:rPr>
        <w:t>Reconcile production, post, delivery, premiums, interest, fees, reserves and contingency.</w:t>
      </w:r>
    </w:p>
    <w:p>
      <w:pPr>
        <w:pStyle w:val="ListBullet"/>
        <w:spacing w:after="50"/>
        <w:ind w:left="720" w:hanging="360"/>
      </w:pPr>
      <w:r>
        <w:rPr>
          <w:rFonts w:ascii="Calibri" w:hAnsi="Calibri" w:eastAsia="Calibri"/>
          <w:b/>
          <w:color w:val="17202A"/>
          <w:sz w:val="19"/>
        </w:rPr>
        <w:t xml:space="preserve">Source certainty. </w:t>
      </w:r>
      <w:r>
        <w:rPr>
          <w:rFonts w:ascii="Calibri" w:hAnsi="Calibri" w:eastAsia="Calibri"/>
          <w:color w:val="17202A"/>
          <w:sz w:val="19"/>
        </w:rPr>
        <w:t>Verify executed commitments, conditions, equity funding, priority and availability dates.</w:t>
      </w:r>
    </w:p>
    <w:p>
      <w:pPr>
        <w:pStyle w:val="ListBullet"/>
        <w:spacing w:after="50"/>
        <w:ind w:left="720" w:hanging="360"/>
      </w:pPr>
      <w:r>
        <w:rPr>
          <w:rFonts w:ascii="Calibri" w:hAnsi="Calibri" w:eastAsia="Calibri"/>
          <w:b/>
          <w:color w:val="17202A"/>
          <w:sz w:val="19"/>
        </w:rPr>
        <w:t xml:space="preserve">Cost-to-complete liquidity. </w:t>
      </w:r>
      <w:r>
        <w:rPr>
          <w:rFonts w:ascii="Calibri" w:hAnsi="Calibri" w:eastAsia="Calibri"/>
          <w:color w:val="17202A"/>
          <w:sz w:val="19"/>
        </w:rPr>
        <w:t>Stress timing, overages, delayed sources and reserve consumption through delivery.</w:t>
      </w:r>
    </w:p>
    <w:p>
      <w:pPr>
        <w:pStyle w:val="ListBullet"/>
        <w:spacing w:after="50"/>
        <w:ind w:left="720" w:hanging="360"/>
      </w:pPr>
      <w:r>
        <w:rPr>
          <w:rFonts w:ascii="Calibri" w:hAnsi="Calibri" w:eastAsia="Calibri"/>
          <w:b/>
          <w:color w:val="17202A"/>
          <w:sz w:val="19"/>
        </w:rPr>
        <w:t xml:space="preserve">Closing and draw control. </w:t>
      </w:r>
      <w:r>
        <w:rPr>
          <w:rFonts w:ascii="Calibri" w:hAnsi="Calibri" w:eastAsia="Calibri"/>
          <w:color w:val="17202A"/>
          <w:sz w:val="19"/>
        </w:rPr>
        <w:t>Align bond documents, budget, cash flow, closing statement, covenants and draw tests.</w:t>
      </w:r>
    </w:p>
    <w:p>
      <w:pPr>
        <w:spacing w:before="100" w:after="0" w:line="250" w:lineRule="auto"/>
        <w:ind w:left="230" w:right="173"/>
        <w:shd w:fill="EAF2F8"/>
        <w:pBdr>
          <w:left w:val="single" w:sz="18" w:space="8" w:color="2E6E9E"/>
        </w:pBdr>
      </w:pPr>
      <w:r>
        <w:rPr>
          <w:rFonts w:ascii="Calibri" w:hAnsi="Calibri" w:eastAsia="Calibri"/>
          <w:b/>
          <w:color w:val="17324D"/>
          <w:sz w:val="18"/>
        </w:rPr>
        <w:t xml:space="preserve">BOTTOM LINE  </w:t>
      </w:r>
      <w:r>
        <w:rPr>
          <w:rFonts w:ascii="Calibri" w:hAnsi="Calibri" w:eastAsia="Calibri"/>
          <w:color w:val="17202A"/>
          <w:sz w:val="18"/>
        </w:rPr>
        <w:t>Full financing is the first protection for every other repayment asset. A loan should close only when verified and timely sources cover all costs through delivery, contingency is credible, the completion structure is effective, and disbursement controls preserve remaining cost-to-complete. Otherwise, a small funding gap can become a portfolio-wide collateral failure inside one transaction.</w:t>
      </w:r>
    </w:p>
    <w:sectPr w:rsidR="00FC693F" w:rsidRPr="0006063C" w:rsidSect="00034616">
      <w:headerReference w:type="default" r:id="rId11"/>
      <w:footerReference w:type="default" r:id="rId12"/>
      <w:pgSz w:w="12240" w:h="15840"/>
      <w:pgMar w:top="1123" w:right="1267" w:bottom="1037" w:left="1267"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Why a Production Must Be Fully Financed  |  Page 1 of 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Why a Production Must Be Fully Financed  |  Page 2 of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Calibri" w:hAnsi="Calibri"/>
      <w:color w:val="17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2E6E9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4"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4" w:lineRule="auto"/>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a Production Must Be Fully Financed</dc:title>
  <dc:subject>Why verified sources, complete uses and contingency are prerequisites to credit protection</dc:subject>
  <dc:creator>MediaHedge</dc:creator>
  <cp:keywords>MediaHedge, film finance, television finance, private credit, financier brief</cp:keywords>
  <dc:description>generated by python-docx</dc:description>
  <cp:lastModifiedBy/>
  <cp:revision>1</cp:revision>
  <dcterms:created xsi:type="dcterms:W3CDTF">2013-12-23T23:15:00Z</dcterms:created>
  <dcterms:modified xsi:type="dcterms:W3CDTF">2013-12-23T23:15:00Z</dcterms:modified>
  <cp:category/>
</cp:coreProperties>
</file>