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PRODUCTION RISK, EXPLAINED</w:t>
      </w:r>
    </w:p>
    <w:p>
      <w:pPr>
        <w:spacing w:after="40"/>
      </w:pPr>
      <w:r>
        <w:rPr>
          <w:rFonts w:ascii="Calibri" w:hAnsi="Calibri" w:eastAsia="Calibri"/>
          <w:b/>
          <w:color w:val="17324D"/>
          <w:sz w:val="47"/>
        </w:rPr>
        <w:t>Completion Bonds: A Financier's Crash Course</w:t>
      </w:r>
    </w:p>
    <w:p>
      <w:pPr>
        <w:spacing w:after="160"/>
      </w:pPr>
      <w:r>
        <w:rPr>
          <w:rFonts w:ascii="Calibri" w:hAnsi="Calibri" w:eastAsia="Calibri"/>
          <w:i/>
          <w:color w:val="65727E"/>
          <w:sz w:val="23"/>
        </w:rPr>
        <w:t>How completion protection supports MediaHedge-financed film and television loans</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A completion bond is a contractual guaranty that a specified production will be completed and delivered under the approved budget, schedule and delivery requirements—or that the guarantor will provide the payment remedy stated in the bond documents. It is protection against non-completion, not a guarantee of box-office performance, distributor solvency, tax-credit collection or repayment by the producer.</w:t>
      </w:r>
    </w:p>
    <w:p>
      <w:pPr>
        <w:pStyle w:val="Heading1"/>
        <w:spacing w:before="100" w:after="60"/>
      </w:pPr>
      <w:r>
        <w:rPr>
          <w:rFonts w:ascii="Calibri" w:hAnsi="Calibri" w:eastAsia="Calibri"/>
          <w:b/>
          <w:color w:val="17324D"/>
          <w:sz w:val="30"/>
        </w:rPr>
        <w:t>Why completion coverage matters</w:t>
      </w:r>
    </w:p>
    <w:p>
      <w:pPr>
        <w:spacing w:after="80"/>
      </w:pPr>
      <w:r>
        <w:rPr>
          <w:rFonts w:ascii="Calibri" w:hAnsi="Calibri" w:eastAsia="Calibri"/>
          <w:i w:val="0"/>
          <w:color w:val="17202A"/>
          <w:sz w:val="20"/>
        </w:rPr>
        <w:t>Film and television productions behave less like ordinary operating companies and more like temporary, high-speed manufacturing projects. Cast, crew, locations, equipment and vendors must arrive in the right sequence; a disruption can create an immediate daily cash burn. Until a project is finished and accepted for delivery, its partially completed footage may have limited recovery value for a lender. Completion coverage addresses this severe tail risk: the possibility that financing is fully advanced but the asset needed to repay the loan is never delivered.</w:t>
      </w:r>
    </w:p>
    <w:p>
      <w:pPr>
        <w:pStyle w:val="Heading1"/>
        <w:spacing w:before="100" w:after="60"/>
      </w:pPr>
      <w:r>
        <w:rPr>
          <w:rFonts w:ascii="Calibri" w:hAnsi="Calibri" w:eastAsia="Calibri"/>
          <w:b/>
          <w:color w:val="17324D"/>
          <w:sz w:val="30"/>
        </w:rPr>
        <w:t>How a completion bond works</w:t>
      </w:r>
    </w:p>
    <w:p>
      <w:pPr>
        <w:pStyle w:val="ListNumber"/>
        <w:spacing w:after="60"/>
        <w:ind w:left="691" w:hanging="331"/>
      </w:pPr>
      <w:r>
        <w:rPr>
          <w:rFonts w:ascii="Calibri" w:hAnsi="Calibri" w:eastAsia="Calibri"/>
          <w:b/>
          <w:color w:val="17324D"/>
          <w:sz w:val="19"/>
        </w:rPr>
        <w:t xml:space="preserve">Pre-bond review. </w:t>
      </w:r>
      <w:r>
        <w:rPr>
          <w:rFonts w:ascii="Calibri" w:hAnsi="Calibri" w:eastAsia="Calibri"/>
          <w:color w:val="17202A"/>
          <w:sz w:val="19"/>
        </w:rPr>
        <w:t>The guarantor examines the script, budget, schedule, key personnel, production plan, contingency and insurance package, then sets conditions for bonding.</w:t>
      </w:r>
    </w:p>
    <w:p>
      <w:pPr>
        <w:pStyle w:val="ListNumber"/>
        <w:spacing w:after="60"/>
        <w:ind w:left="691" w:hanging="331"/>
      </w:pPr>
      <w:r>
        <w:rPr>
          <w:rFonts w:ascii="Calibri" w:hAnsi="Calibri" w:eastAsia="Calibri"/>
          <w:b/>
          <w:color w:val="17324D"/>
          <w:sz w:val="19"/>
        </w:rPr>
        <w:t xml:space="preserve">Issuance and closing. </w:t>
      </w:r>
      <w:r>
        <w:rPr>
          <w:rFonts w:ascii="Calibri" w:hAnsi="Calibri" w:eastAsia="Calibri"/>
          <w:color w:val="17202A"/>
          <w:sz w:val="19"/>
        </w:rPr>
        <w:t>The producer pays the premium and signs a completion agreement. The guarantor issues the completion guaranty and related financier protections, subject to stated conditions, caps and exclusions.</w:t>
      </w:r>
    </w:p>
    <w:p>
      <w:pPr>
        <w:pStyle w:val="ListNumber"/>
        <w:spacing w:after="60"/>
        <w:ind w:left="691" w:hanging="331"/>
      </w:pPr>
      <w:r>
        <w:rPr>
          <w:rFonts w:ascii="Calibri" w:hAnsi="Calibri" w:eastAsia="Calibri"/>
          <w:b/>
          <w:color w:val="17324D"/>
          <w:sz w:val="19"/>
        </w:rPr>
        <w:t xml:space="preserve">Monitoring. </w:t>
      </w:r>
      <w:r>
        <w:rPr>
          <w:rFonts w:ascii="Calibri" w:hAnsi="Calibri" w:eastAsia="Calibri"/>
          <w:color w:val="17202A"/>
          <w:sz w:val="19"/>
        </w:rPr>
        <w:t>During production, the guarantor receives cost reports, schedules and other updates. It may require corrective action before a manageable variance becomes a completion failure.</w:t>
      </w:r>
    </w:p>
    <w:p>
      <w:pPr>
        <w:pStyle w:val="ListNumber"/>
        <w:spacing w:after="60"/>
        <w:ind w:left="691" w:hanging="331"/>
      </w:pPr>
      <w:r>
        <w:rPr>
          <w:rFonts w:ascii="Calibri" w:hAnsi="Calibri" w:eastAsia="Calibri"/>
          <w:b/>
          <w:color w:val="17324D"/>
          <w:sz w:val="19"/>
        </w:rPr>
        <w:t xml:space="preserve">Intervention. </w:t>
      </w:r>
      <w:r>
        <w:rPr>
          <w:rFonts w:ascii="Calibri" w:hAnsi="Calibri" w:eastAsia="Calibri"/>
          <w:color w:val="17202A"/>
          <w:sz w:val="19"/>
        </w:rPr>
        <w:t>If the production materially deviates, the guarantor may impose controls, replace personnel, modify the plan, advance completion funds or exercise takeover rights, depending on the documents.</w:t>
      </w:r>
    </w:p>
    <w:p>
      <w:pPr>
        <w:pStyle w:val="ListNumber"/>
        <w:spacing w:after="60"/>
        <w:ind w:left="691" w:hanging="331"/>
      </w:pPr>
      <w:r>
        <w:rPr>
          <w:rFonts w:ascii="Calibri" w:hAnsi="Calibri" w:eastAsia="Calibri"/>
          <w:b/>
          <w:color w:val="17324D"/>
          <w:sz w:val="19"/>
        </w:rPr>
        <w:t xml:space="preserve">Completion or payment remedy. </w:t>
      </w:r>
      <w:r>
        <w:rPr>
          <w:rFonts w:ascii="Calibri" w:hAnsi="Calibri" w:eastAsia="Calibri"/>
          <w:color w:val="17202A"/>
          <w:sz w:val="19"/>
        </w:rPr>
        <w:t>After a covered default, the guarantor typically elects to complete and deliver the project or use the contractual payment remedy, which may be capped and may exclude some interest, fees or consequential losses.</w:t>
      </w:r>
    </w:p>
    <w:p>
      <w:pPr>
        <w:pStyle w:val="Heading1"/>
        <w:spacing w:before="100" w:after="60"/>
      </w:pPr>
      <w:r>
        <w:rPr>
          <w:rFonts w:ascii="Calibri" w:hAnsi="Calibri" w:eastAsia="Calibri"/>
          <w:b/>
          <w:color w:val="17324D"/>
          <w:sz w:val="30"/>
        </w:rPr>
        <w:t>Where MediaHedge and the financing partner sit</w:t>
      </w:r>
    </w:p>
    <w:p>
      <w:pPr>
        <w:spacing w:after="80"/>
      </w:pPr>
      <w:r>
        <w:rPr>
          <w:rFonts w:ascii="Calibri" w:hAnsi="Calibri" w:eastAsia="Calibri"/>
          <w:i w:val="0"/>
          <w:color w:val="17202A"/>
          <w:sz w:val="20"/>
        </w:rPr>
        <w:t>In a MediaHedge-financed transaction, MediaHedge and its financing partner should be expressly named in the operative documents—not merely referenced in a producer's certificate. As beneficiaries of the completion guaranty, they receive the contracted completion/payment protection. As loss payees or additional insureds under applicable production insurance, they may have rights to covered insurance proceeds. When both are named, the interparty documents should state notice rights, cure rights, control, payment instructions and priority so the protections function as intended.</w:t>
      </w:r>
    </w:p>
    <w:p>
      <w:pPr>
        <w:pStyle w:val="Heading1"/>
        <w:spacing w:before="0" w:after="80"/>
      </w:pPr>
      <w:r>
        <w:rPr>
          <w:rFonts w:ascii="Calibri" w:hAnsi="Calibri" w:eastAsia="Calibri"/>
          <w:b/>
          <w:color w:val="17324D"/>
          <w:sz w:val="30"/>
        </w:rPr>
        <w:t>What the protection does—and does not—do</w:t>
      </w:r>
    </w:p>
    <w:p>
      <w:pPr>
        <w:spacing w:after="80"/>
      </w:pPr>
      <w:r>
        <w:rPr>
          <w:rFonts w:ascii="Calibri" w:hAnsi="Calibri" w:eastAsia="Calibri"/>
          <w:i w:val="0"/>
          <w:color w:val="17202A"/>
          <w:sz w:val="20"/>
        </w:rPr>
        <w:t>The practical value of a bond is that an independent, specialized counterparty has both information rights and the contractual authority to prevent or cure a production failure. It adds disciplined budget and schedule review, continuous monitoring, early-warning escalation, access to production materials and, in serious cases, the ability to take control. That can convert an otherwise binary lender exposure—finished asset or stranded footage—into a managed path toward delivery or a defined recovery.</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Coverage map, benefits and diligence</w:t>
      </w:r>
    </w:p>
    <w:p>
      <w:pPr>
        <w:pStyle w:val="Heading2"/>
        <w:spacing w:before="80" w:after="80"/>
      </w:pPr>
      <w:r>
        <w:rPr>
          <w:rFonts w:ascii="Calibri" w:hAnsi="Calibri" w:eastAsia="Calibri"/>
          <w:b/>
          <w:color w:val="2E6E9E"/>
          <w:sz w:val="24"/>
        </w:rPr>
        <w:t>Which protection responds to which risk</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Risk</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Primary protection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What it is designed to do</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Budget overrun / failure to deliver</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Completion guaranty</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Complete and deliver, or provide the remedy stated in the guaranty.</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Covered cast, property, equipment or casualty loss</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Production insurance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Respond to a specified insured event, subject to policy terms and deductibles.</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Distributor, tax authority or other obligor fails to pay</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Separate credit or receivables protection, if purchased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Address a covered payment default. A completion bond ordinarily does not.</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Poor audience demand or commercial underperformance</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Ordinarily none</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This remains market or equity risk; completion does not guarantee success.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Delivery protection. </w:t>
      </w:r>
      <w:r>
        <w:rPr>
          <w:rFonts w:ascii="Calibri" w:hAnsi="Calibri" w:eastAsia="Calibri"/>
          <w:color w:val="17202A"/>
          <w:sz w:val="19"/>
        </w:rPr>
        <w:t>The bond targets the event that destroys the collateral's usefulness: failure to finish and deliver the project.</w:t>
      </w:r>
    </w:p>
    <w:p>
      <w:pPr>
        <w:pStyle w:val="ListBullet"/>
        <w:spacing w:after="50"/>
        <w:ind w:left="720" w:hanging="360"/>
      </w:pPr>
      <w:r>
        <w:rPr>
          <w:rFonts w:ascii="Calibri" w:hAnsi="Calibri" w:eastAsia="Calibri"/>
          <w:b/>
          <w:color w:val="17202A"/>
          <w:sz w:val="19"/>
        </w:rPr>
        <w:t xml:space="preserve">Independent oversight. </w:t>
      </w:r>
      <w:r>
        <w:rPr>
          <w:rFonts w:ascii="Calibri" w:hAnsi="Calibri" w:eastAsia="Calibri"/>
          <w:color w:val="17202A"/>
          <w:sz w:val="19"/>
        </w:rPr>
        <w:t>The guarantor reviews feasibility before closing and monitors execution after funding.</w:t>
      </w:r>
    </w:p>
    <w:p>
      <w:pPr>
        <w:pStyle w:val="ListBullet"/>
        <w:spacing w:after="50"/>
        <w:ind w:left="720" w:hanging="360"/>
      </w:pPr>
      <w:r>
        <w:rPr>
          <w:rFonts w:ascii="Calibri" w:hAnsi="Calibri" w:eastAsia="Calibri"/>
          <w:b/>
          <w:color w:val="17202A"/>
          <w:sz w:val="19"/>
        </w:rPr>
        <w:t xml:space="preserve">Direct rights. </w:t>
      </w:r>
      <w:r>
        <w:rPr>
          <w:rFonts w:ascii="Calibri" w:hAnsi="Calibri" w:eastAsia="Calibri"/>
          <w:color w:val="17202A"/>
          <w:sz w:val="19"/>
        </w:rPr>
        <w:t>Properly drafted documents can provide notice, information, cure, consent, takeover and payment rights without relying solely on the producer.</w:t>
      </w:r>
    </w:p>
    <w:p>
      <w:pPr>
        <w:pStyle w:val="ListBullet"/>
        <w:spacing w:after="50"/>
        <w:ind w:left="720" w:hanging="360"/>
      </w:pPr>
      <w:r>
        <w:rPr>
          <w:rFonts w:ascii="Calibri" w:hAnsi="Calibri" w:eastAsia="Calibri"/>
          <w:b/>
          <w:color w:val="17202A"/>
          <w:sz w:val="19"/>
        </w:rPr>
        <w:t xml:space="preserve">Cost containment. </w:t>
      </w:r>
      <w:r>
        <w:rPr>
          <w:rFonts w:ascii="Calibri" w:hAnsi="Calibri" w:eastAsia="Calibri"/>
          <w:color w:val="17202A"/>
          <w:sz w:val="19"/>
        </w:rPr>
        <w:t>Early intervention can prevent a schedule problem from compounding into a larger capital shortfall.</w:t>
      </w:r>
    </w:p>
    <w:p>
      <w:pPr>
        <w:pStyle w:val="ListBullet"/>
        <w:spacing w:after="50"/>
        <w:ind w:left="720" w:hanging="360"/>
      </w:pPr>
      <w:r>
        <w:rPr>
          <w:rFonts w:ascii="Calibri" w:hAnsi="Calibri" w:eastAsia="Calibri"/>
          <w:b/>
          <w:color w:val="17202A"/>
          <w:sz w:val="19"/>
        </w:rPr>
        <w:t xml:space="preserve">Stronger collateral architecture. </w:t>
      </w:r>
      <w:r>
        <w:rPr>
          <w:rFonts w:ascii="Calibri" w:hAnsi="Calibri" w:eastAsia="Calibri"/>
          <w:color w:val="17202A"/>
          <w:sz w:val="19"/>
        </w:rPr>
        <w:t>The bond complements controlled accounts, security interests, copyright collateral, assignments, insurance and delivery controls.</w:t>
      </w:r>
    </w:p>
    <w:p>
      <w:pPr>
        <w:pStyle w:val="Heading2"/>
        <w:spacing w:before="120" w:after="60"/>
      </w:pPr>
      <w:r>
        <w:rPr>
          <w:rFonts w:ascii="Calibri" w:hAnsi="Calibri" w:eastAsia="Calibri"/>
          <w:b/>
          <w:color w:val="2E6E9E"/>
          <w:sz w:val="24"/>
        </w:rPr>
        <w:t>Important limits and common exclusions</w:t>
      </w:r>
    </w:p>
    <w:p>
      <w:pPr>
        <w:spacing w:after="80"/>
      </w:pPr>
      <w:r>
        <w:rPr>
          <w:rFonts w:ascii="Calibri" w:hAnsi="Calibri" w:eastAsia="Calibri"/>
          <w:i w:val="0"/>
          <w:color w:val="17202A"/>
          <w:sz w:val="20"/>
        </w:rPr>
        <w:t>Coverage is transaction-specific. Common limitations may include obligor default, tax-incentive failure, chain-of-title or E&amp;O matters, currency movement, labor disruption, cyber events, communicable disease, government action, enhancements, marketing/distribution expense, residuals and post-delivery costs. Claims may also depend on timely notice, premium payment, full funding of the agreed strike price, adherence to the approved production plan and compliance with cure or claims procedures. The executed guaranty and endorsements—not a template or marketing summary—control.</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Counterparty and authority. </w:t>
      </w:r>
      <w:r>
        <w:rPr>
          <w:rFonts w:ascii="Calibri" w:hAnsi="Calibri" w:eastAsia="Calibri"/>
          <w:color w:val="17202A"/>
          <w:sz w:val="19"/>
        </w:rPr>
        <w:t>Confirm the actual carrier or guarantor, its authority to bind coverage and the final signed documents.</w:t>
      </w:r>
    </w:p>
    <w:p>
      <w:pPr>
        <w:pStyle w:val="ListBullet"/>
        <w:spacing w:after="50"/>
        <w:ind w:left="720" w:hanging="360"/>
      </w:pPr>
      <w:r>
        <w:rPr>
          <w:rFonts w:ascii="Calibri" w:hAnsi="Calibri" w:eastAsia="Calibri"/>
          <w:b/>
          <w:color w:val="17202A"/>
          <w:sz w:val="19"/>
        </w:rPr>
        <w:t xml:space="preserve">Names and remedies. </w:t>
      </w:r>
      <w:r>
        <w:rPr>
          <w:rFonts w:ascii="Calibri" w:hAnsi="Calibri" w:eastAsia="Calibri"/>
          <w:color w:val="17202A"/>
          <w:sz w:val="19"/>
        </w:rPr>
        <w:t>Confirm MediaHedge and the financing partner are correctly named; test the covered amount, liability cap, interest and fee treatment, and payment mechanics.</w:t>
      </w:r>
    </w:p>
    <w:p>
      <w:pPr>
        <w:pStyle w:val="ListBullet"/>
        <w:spacing w:after="50"/>
        <w:ind w:left="720" w:hanging="360"/>
      </w:pPr>
      <w:r>
        <w:rPr>
          <w:rFonts w:ascii="Calibri" w:hAnsi="Calibri" w:eastAsia="Calibri"/>
          <w:b/>
          <w:color w:val="17202A"/>
          <w:sz w:val="19"/>
        </w:rPr>
        <w:t xml:space="preserve">Operational control. </w:t>
      </w:r>
      <w:r>
        <w:rPr>
          <w:rFonts w:ascii="Calibri" w:hAnsi="Calibri" w:eastAsia="Calibri"/>
          <w:color w:val="17202A"/>
          <w:sz w:val="19"/>
        </w:rPr>
        <w:t>Align notice, cure, account-control, takeover, power-of-attorney, reporting, materials-access and delivery provisions across all transaction documents.</w:t>
      </w:r>
    </w:p>
    <w:p>
      <w:pPr>
        <w:pStyle w:val="ListBullet"/>
        <w:spacing w:after="50"/>
        <w:ind w:left="720" w:hanging="360"/>
      </w:pPr>
      <w:r>
        <w:rPr>
          <w:rFonts w:ascii="Calibri" w:hAnsi="Calibri" w:eastAsia="Calibri"/>
          <w:b/>
          <w:color w:val="17202A"/>
          <w:sz w:val="19"/>
        </w:rPr>
        <w:t xml:space="preserve">Priority and recovery. </w:t>
      </w:r>
      <w:r>
        <w:rPr>
          <w:rFonts w:ascii="Calibri" w:hAnsi="Calibri" w:eastAsia="Calibri"/>
          <w:color w:val="17202A"/>
          <w:sz w:val="19"/>
        </w:rPr>
        <w:t>Review subrogation, lien priority, arbitration, claims deadlines and how proceeds are allocated between named beneficiaries and loss payees.</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A completion bond is a powerful layer of lender protection, but not a substitute for underwriting. MediaHedge combines it with collateral verification, production insurance, security and account controls, delivery mechanics and active servicing. The protection available in any transaction is determined by its final executed documents.</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Completion Bonds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Completion Bonds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Completion Bonds: A Financier's Crash Course</dc:title>
  <dc:subject>Completion protection in MediaHedge-financed film and television transactions</dc:subject>
  <dc:creator>MediaHedge</dc:creator>
  <cp:keywords>completion bond, film finance, television finance, financier protection, MediaHedge</cp:keywords>
  <dc:description>generated by python-docx</dc:description>
  <cp:lastModifiedBy/>
  <cp:revision>1</cp:revision>
  <dcterms:created xsi:type="dcterms:W3CDTF">2013-12-23T23:15:00Z</dcterms:created>
  <dcterms:modified xsi:type="dcterms:W3CDTF">2013-12-23T23:15:00Z</dcterms:modified>
  <cp:category/>
</cp:coreProperties>
</file>