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CONTRACTED RECEIVABLES, EXPLAINED</w:t>
      </w:r>
    </w:p>
    <w:p>
      <w:pPr>
        <w:spacing w:after="40"/>
      </w:pPr>
      <w:r>
        <w:rPr>
          <w:rFonts w:ascii="Calibri" w:hAnsi="Calibri" w:eastAsia="Calibri"/>
          <w:b/>
          <w:color w:val="17324D"/>
          <w:sz w:val="47"/>
        </w:rPr>
        <w:t>Pre-Sales as Collateral: A Financier's Crash Course</w:t>
      </w:r>
    </w:p>
    <w:p>
      <w:pPr>
        <w:spacing w:after="160"/>
      </w:pPr>
      <w:r>
        <w:rPr>
          <w:rFonts w:ascii="Calibri" w:hAnsi="Calibri" w:eastAsia="Calibri"/>
          <w:i/>
          <w:color w:val="65727E"/>
          <w:sz w:val="23"/>
        </w:rPr>
        <w:t>How executed minimum guarantees can support MediaHedge-financed film and television loans</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A pre-sale is an executed distribution or license agreement made before a film or television project is completed. In exchange for defined rights, a distributor commits to a fixed minimum guarantee, or MG, usually payable after delivery and acceptance. For a financier, the collateral is the enforceable, assignable and collectible net MG receivable - not the headline contract value and not an estimate of future sales.</w:t>
      </w:r>
    </w:p>
    <w:p>
      <w:pPr>
        <w:pStyle w:val="Heading1"/>
        <w:spacing w:before="100" w:after="60"/>
      </w:pPr>
      <w:r>
        <w:rPr>
          <w:rFonts w:ascii="Calibri" w:hAnsi="Calibri" w:eastAsia="Calibri"/>
          <w:b/>
          <w:color w:val="17324D"/>
          <w:sz w:val="30"/>
        </w:rPr>
        <w:t>Why pre-sales matter in film and television finance</w:t>
      </w:r>
    </w:p>
    <w:p>
      <w:pPr>
        <w:spacing w:after="80"/>
      </w:pPr>
      <w:r>
        <w:rPr>
          <w:rFonts w:ascii="Calibri" w:hAnsi="Calibri" w:eastAsia="Calibri"/>
          <w:i w:val="0"/>
          <w:color w:val="17202A"/>
          <w:sz w:val="20"/>
        </w:rPr>
        <w:t>A production is a temporary project, not an operating company with recurring cash flow. Much of its value cannot be collected until the finished program is delivered. A bankable pre-sale turns part of that future value into a contractual payment obligation from an identifiable distributor. That creates a visible repayment path before release and can diversify repayment across territories, rights, currencies and counterparties. The remaining risk is not whether an audience likes the project, but whether the contract remains binding, delivery occurs, acceptance is achieved and the distributor pays as required.</w:t>
      </w:r>
    </w:p>
    <w:p>
      <w:pPr>
        <w:pStyle w:val="Heading1"/>
        <w:spacing w:before="100" w:after="60"/>
      </w:pPr>
      <w:r>
        <w:rPr>
          <w:rFonts w:ascii="Calibri" w:hAnsi="Calibri" w:eastAsia="Calibri"/>
          <w:b/>
          <w:color w:val="17324D"/>
          <w:sz w:val="30"/>
        </w:rPr>
        <w:t>The five-part collateral structure</w:t>
      </w:r>
    </w:p>
    <w:p>
      <w:pPr>
        <w:pStyle w:val="ListNumber"/>
        <w:spacing w:after="60"/>
        <w:ind w:left="691" w:hanging="331"/>
      </w:pPr>
      <w:r>
        <w:rPr>
          <w:rFonts w:ascii="Calibri" w:hAnsi="Calibri" w:eastAsia="Calibri"/>
          <w:b/>
          <w:color w:val="17324D"/>
          <w:sz w:val="19"/>
        </w:rPr>
        <w:t xml:space="preserve">Licensed rights. </w:t>
      </w:r>
      <w:r>
        <w:rPr>
          <w:rFonts w:ascii="Calibri" w:hAnsi="Calibri" w:eastAsia="Calibri"/>
          <w:color w:val="17202A"/>
          <w:sz w:val="19"/>
        </w:rPr>
        <w:t>The contract identifies the territory, media, language, exclusivity, term and other rights granted to the distributor.</w:t>
      </w:r>
    </w:p>
    <w:p>
      <w:pPr>
        <w:pStyle w:val="ListNumber"/>
        <w:spacing w:after="60"/>
        <w:ind w:left="691" w:hanging="331"/>
      </w:pPr>
      <w:r>
        <w:rPr>
          <w:rFonts w:ascii="Calibri" w:hAnsi="Calibri" w:eastAsia="Calibri"/>
          <w:b/>
          <w:color w:val="17324D"/>
          <w:sz w:val="19"/>
        </w:rPr>
        <w:t xml:space="preserve">Fixed MG obligation. </w:t>
      </w:r>
      <w:r>
        <w:rPr>
          <w:rFonts w:ascii="Calibri" w:hAnsi="Calibri" w:eastAsia="Calibri"/>
          <w:color w:val="17202A"/>
          <w:sz w:val="19"/>
        </w:rPr>
        <w:t>The agreement states a minimum amount, payment currency, installments and due dates; some installments may remain conditional.</w:t>
      </w:r>
    </w:p>
    <w:p>
      <w:pPr>
        <w:pStyle w:val="ListNumber"/>
        <w:spacing w:after="60"/>
        <w:ind w:left="691" w:hanging="331"/>
      </w:pPr>
      <w:r>
        <w:rPr>
          <w:rFonts w:ascii="Calibri" w:hAnsi="Calibri" w:eastAsia="Calibri"/>
          <w:b/>
          <w:color w:val="17324D"/>
          <w:sz w:val="19"/>
        </w:rPr>
        <w:t xml:space="preserve">Delivery and acceptance. </w:t>
      </w:r>
      <w:r>
        <w:rPr>
          <w:rFonts w:ascii="Calibri" w:hAnsi="Calibri" w:eastAsia="Calibri"/>
          <w:color w:val="17202A"/>
          <w:sz w:val="19"/>
        </w:rPr>
        <w:t>Payment usually depends on timely delivery of specified materials and satisfaction of contractual technical, legal and creative conditions.</w:t>
      </w:r>
    </w:p>
    <w:p>
      <w:pPr>
        <w:pStyle w:val="ListNumber"/>
        <w:spacing w:after="60"/>
        <w:ind w:left="691" w:hanging="331"/>
      </w:pPr>
      <w:r>
        <w:rPr>
          <w:rFonts w:ascii="Calibri" w:hAnsi="Calibri" w:eastAsia="Calibri"/>
          <w:b/>
          <w:color w:val="17324D"/>
          <w:sz w:val="19"/>
        </w:rPr>
        <w:t xml:space="preserve">Assignment and payment control. </w:t>
      </w:r>
      <w:r>
        <w:rPr>
          <w:rFonts w:ascii="Calibri" w:hAnsi="Calibri" w:eastAsia="Calibri"/>
          <w:color w:val="17202A"/>
          <w:sz w:val="19"/>
        </w:rPr>
        <w:t>The producer assigns the receivable, and the distributor acknowledges irrevocable payment instructions to a controlled collection account.</w:t>
      </w:r>
    </w:p>
    <w:p>
      <w:pPr>
        <w:pStyle w:val="ListNumber"/>
        <w:spacing w:after="60"/>
        <w:ind w:left="691" w:hanging="331"/>
      </w:pPr>
      <w:r>
        <w:rPr>
          <w:rFonts w:ascii="Calibri" w:hAnsi="Calibri" w:eastAsia="Calibri"/>
          <w:b/>
          <w:color w:val="17324D"/>
          <w:sz w:val="19"/>
        </w:rPr>
        <w:t xml:space="preserve">Collection waterfall. </w:t>
      </w:r>
      <w:r>
        <w:rPr>
          <w:rFonts w:ascii="Calibri" w:hAnsi="Calibri" w:eastAsia="Calibri"/>
          <w:color w:val="17202A"/>
          <w:sz w:val="19"/>
        </w:rPr>
        <w:t>Account-control and interparty documents determine how receipts are applied to principal, interest, fees and any subordinate participants.</w:t>
      </w:r>
    </w:p>
    <w:p>
      <w:pPr>
        <w:pStyle w:val="Heading1"/>
        <w:spacing w:before="100" w:after="60"/>
      </w:pPr>
      <w:r>
        <w:rPr>
          <w:rFonts w:ascii="Calibri" w:hAnsi="Calibri" w:eastAsia="Calibri"/>
          <w:b/>
          <w:color w:val="17324D"/>
          <w:sz w:val="30"/>
        </w:rPr>
        <w:t>How a pre-sale loan works</w:t>
      </w:r>
    </w:p>
    <w:p>
      <w:pPr>
        <w:spacing w:after="80"/>
      </w:pPr>
      <w:r>
        <w:rPr>
          <w:rFonts w:ascii="Calibri" w:hAnsi="Calibri" w:eastAsia="Calibri"/>
          <w:i w:val="0"/>
          <w:color w:val="17202A"/>
          <w:sz w:val="20"/>
        </w:rPr>
        <w:t>Before funding, MediaHedge validates the final signed distribution agreement, the distributor's authority and credit, the producer's ownership of the licensed rights, and every condition to the MG. The gross MG is reduced to an eligible net receivable by excluding unexecuted, discretionary or avoidable amounts and accounting for taxes, commissions, offsets, currency exposure, timing and collection costs. The lender then advances a conservatively sized amount against that eligible collateral. During production, MediaHedge monitors completion, delivery and contract compliance; after delivery, the distributor pays the assigned receivable into the controlled account and the agreed waterfall repays the loan.</w:t>
      </w:r>
    </w:p>
    <w:p>
      <w:pPr>
        <w:pStyle w:val="Heading1"/>
        <w:spacing w:before="0" w:after="80"/>
      </w:pPr>
      <w:r>
        <w:rPr>
          <w:rFonts w:ascii="Calibri" w:hAnsi="Calibri" w:eastAsia="Calibri"/>
          <w:b/>
          <w:color w:val="17324D"/>
          <w:sz w:val="30"/>
        </w:rPr>
        <w:t>Where MediaHedge and the financing partner sit</w:t>
      </w:r>
    </w:p>
    <w:p>
      <w:pPr>
        <w:spacing w:after="80"/>
      </w:pPr>
      <w:r>
        <w:rPr>
          <w:rFonts w:ascii="Calibri" w:hAnsi="Calibri" w:eastAsia="Calibri"/>
          <w:i w:val="0"/>
          <w:color w:val="17202A"/>
          <w:sz w:val="20"/>
        </w:rPr>
        <w:t>MediaHedge and its financing partner should hold a first-priority assignment of the eligible MG receivable and related contract rights, supported by an effective notice of assignment acknowledged by the distributor. The documents should direct payment to the controlled account, require duplicate default and delivery notices, preserve lender cure and enforcement rights, restrict material amendments or waivers without consent, and align the security agreement, UCC filings, copyright mortgage, completion documents and collection-account waterfall. Both financiers should be expressly protected; the producer's promise to remit proceeds is not a substitute for direct payment control.</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Bankability, benefits and diligence</w:t>
      </w:r>
    </w:p>
    <w:p>
      <w:pPr>
        <w:pStyle w:val="Heading2"/>
        <w:spacing w:before="80" w:after="80"/>
      </w:pPr>
      <w:r>
        <w:rPr>
          <w:rFonts w:ascii="Calibri" w:hAnsi="Calibri" w:eastAsia="Calibri"/>
          <w:b/>
          <w:color w:val="2E6E9E"/>
          <w:sz w:val="24"/>
        </w:rPr>
        <w:t>From signed pre-sale to collected cash</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Stage</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Core protection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Execution</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Is the MG final, binding and authorized?</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Signed long-form agreement; conditions precedent verified.</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Production</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Can the project satisfy the contract?</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Completion bond, budget and schedule controls, reporting and cure rights.</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Delivery</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Are materials and acceptance standards objective?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Clear delivery schedule, notice, rejection, cure and deemed-acceptance mechanics.</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Payment</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What net amount is due, when and in what currency?</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Acknowledged assignment, no-diversion direction, controlled account and waterfall.</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Contracted repayment path. </w:t>
      </w:r>
      <w:r>
        <w:rPr>
          <w:rFonts w:ascii="Calibri" w:hAnsi="Calibri" w:eastAsia="Calibri"/>
          <w:color w:val="17202A"/>
          <w:sz w:val="19"/>
        </w:rPr>
        <w:t>A fixed MG links the loan to an identifiable payment obligation rather than an uncertain future sale.</w:t>
      </w:r>
    </w:p>
    <w:p>
      <w:pPr>
        <w:pStyle w:val="ListBullet"/>
        <w:spacing w:after="50"/>
        <w:ind w:left="720" w:hanging="360"/>
      </w:pPr>
      <w:r>
        <w:rPr>
          <w:rFonts w:ascii="Calibri" w:hAnsi="Calibri" w:eastAsia="Calibri"/>
          <w:b/>
          <w:color w:val="17202A"/>
          <w:sz w:val="19"/>
        </w:rPr>
        <w:t xml:space="preserve">Counterparty diversification. </w:t>
      </w:r>
      <w:r>
        <w:rPr>
          <w:rFonts w:ascii="Calibri" w:hAnsi="Calibri" w:eastAsia="Calibri"/>
          <w:color w:val="17202A"/>
          <w:sz w:val="19"/>
        </w:rPr>
        <w:t>Multiple distributors and territories can reduce reliance on one market, while each obligor remains separately underwritten.</w:t>
      </w:r>
    </w:p>
    <w:p>
      <w:pPr>
        <w:pStyle w:val="ListBullet"/>
        <w:spacing w:after="50"/>
        <w:ind w:left="720" w:hanging="360"/>
      </w:pPr>
      <w:r>
        <w:rPr>
          <w:rFonts w:ascii="Calibri" w:hAnsi="Calibri" w:eastAsia="Calibri"/>
          <w:b/>
          <w:color w:val="17202A"/>
          <w:sz w:val="19"/>
        </w:rPr>
        <w:t xml:space="preserve">Defined amount and timing. </w:t>
      </w:r>
      <w:r>
        <w:rPr>
          <w:rFonts w:ascii="Calibri" w:hAnsi="Calibri" w:eastAsia="Calibri"/>
          <w:color w:val="17202A"/>
          <w:sz w:val="19"/>
        </w:rPr>
        <w:t>The agreement specifies the currency, installments, delivery requirements and payment dates needed for cash-flow modeling.</w:t>
      </w:r>
    </w:p>
    <w:p>
      <w:pPr>
        <w:pStyle w:val="ListBullet"/>
        <w:spacing w:after="50"/>
        <w:ind w:left="720" w:hanging="360"/>
      </w:pPr>
      <w:r>
        <w:rPr>
          <w:rFonts w:ascii="Calibri" w:hAnsi="Calibri" w:eastAsia="Calibri"/>
          <w:b/>
          <w:color w:val="17202A"/>
          <w:sz w:val="19"/>
        </w:rPr>
        <w:t xml:space="preserve">Direct collateral control. </w:t>
      </w:r>
      <w:r>
        <w:rPr>
          <w:rFonts w:ascii="Calibri" w:hAnsi="Calibri" w:eastAsia="Calibri"/>
          <w:color w:val="17202A"/>
          <w:sz w:val="19"/>
        </w:rPr>
        <w:t>Assignments, acknowledgments and controlled accounts can redirect collections away from the producer and into the loan waterfall.</w:t>
      </w:r>
    </w:p>
    <w:p>
      <w:pPr>
        <w:pStyle w:val="ListBullet"/>
        <w:spacing w:after="50"/>
        <w:ind w:left="720" w:hanging="360"/>
      </w:pPr>
      <w:r>
        <w:rPr>
          <w:rFonts w:ascii="Calibri" w:hAnsi="Calibri" w:eastAsia="Calibri"/>
          <w:b/>
          <w:color w:val="17202A"/>
          <w:sz w:val="19"/>
        </w:rPr>
        <w:t xml:space="preserve">Complementary risk protection. </w:t>
      </w:r>
      <w:r>
        <w:rPr>
          <w:rFonts w:ascii="Calibri" w:hAnsi="Calibri" w:eastAsia="Calibri"/>
          <w:color w:val="17202A"/>
          <w:sz w:val="19"/>
        </w:rPr>
        <w:t>Completion coverage can support the delivery condition, while separate surety or credit protection may address a covered payment default.</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A pre-sale is a conditional receivable, not cash and not a blanket guarantee of the loan. Offer letters, unsigned drafts, board-subject deals and amounts dependent on future agreement are not equivalent to final MGs. Even executed contracts may permit termination for missed delivery dates, unavailable key elements, unapproved changes, chain-of-title defects or other breaches. Subjective acceptance rights, setoff, withholding tax, distributor deductions, currency movement, long payment windows, insolvency and unapproved amendments can reduce or delay recovery. Interest and lender fees are not automatically payable by the distributor. The final agreement, accepted notice of assignment and actual counterparty credit - not a sales agent's characterization - control bankability.</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Contract and authority. </w:t>
      </w:r>
      <w:r>
        <w:rPr>
          <w:rFonts w:ascii="Calibri" w:hAnsi="Calibri" w:eastAsia="Calibri"/>
          <w:color w:val="17202A"/>
          <w:sz w:val="19"/>
        </w:rPr>
        <w:t>Confirm the final signed agreement, legal parties, signatory authority, licensed rights, fixed MG, installments and remaining conditions precedent.</w:t>
      </w:r>
    </w:p>
    <w:p>
      <w:pPr>
        <w:pStyle w:val="ListBullet"/>
        <w:spacing w:after="50"/>
        <w:ind w:left="720" w:hanging="360"/>
      </w:pPr>
      <w:r>
        <w:rPr>
          <w:rFonts w:ascii="Calibri" w:hAnsi="Calibri" w:eastAsia="Calibri"/>
          <w:b/>
          <w:color w:val="17202A"/>
          <w:sz w:val="19"/>
        </w:rPr>
        <w:t xml:space="preserve">Delivery and enforceability. </w:t>
      </w:r>
      <w:r>
        <w:rPr>
          <w:rFonts w:ascii="Calibri" w:hAnsi="Calibri" w:eastAsia="Calibri"/>
          <w:color w:val="17202A"/>
          <w:sz w:val="19"/>
        </w:rPr>
        <w:t>Test specifications, acceptance, rejection, cure, key-element, termination, force-majeure, dispute and governing-law provisions against the production plan.</w:t>
      </w:r>
    </w:p>
    <w:p>
      <w:pPr>
        <w:pStyle w:val="ListBullet"/>
        <w:spacing w:after="50"/>
        <w:ind w:left="720" w:hanging="360"/>
      </w:pPr>
      <w:r>
        <w:rPr>
          <w:rFonts w:ascii="Calibri" w:hAnsi="Calibri" w:eastAsia="Calibri"/>
          <w:b/>
          <w:color w:val="17202A"/>
          <w:sz w:val="19"/>
        </w:rPr>
        <w:t xml:space="preserve">Assignment and control. </w:t>
      </w:r>
      <w:r>
        <w:rPr>
          <w:rFonts w:ascii="Calibri" w:hAnsi="Calibri" w:eastAsia="Calibri"/>
          <w:color w:val="17202A"/>
          <w:sz w:val="19"/>
        </w:rPr>
        <w:t>Obtain distributor acknowledgment, direct-payment instructions, duplicate notices, amendment controls, lien perfection and a controlled collection waterfall.</w:t>
      </w:r>
    </w:p>
    <w:p>
      <w:pPr>
        <w:pStyle w:val="ListBullet"/>
        <w:spacing w:after="50"/>
        <w:ind w:left="720" w:hanging="360"/>
      </w:pPr>
      <w:r>
        <w:rPr>
          <w:rFonts w:ascii="Calibri" w:hAnsi="Calibri" w:eastAsia="Calibri"/>
          <w:b/>
          <w:color w:val="17202A"/>
          <w:sz w:val="19"/>
        </w:rPr>
        <w:t xml:space="preserve">Eligible value and obligor risk. </w:t>
      </w:r>
      <w:r>
        <w:rPr>
          <w:rFonts w:ascii="Calibri" w:hAnsi="Calibri" w:eastAsia="Calibri"/>
          <w:color w:val="17202A"/>
          <w:sz w:val="19"/>
        </w:rPr>
        <w:t>Underwrite distributor credit and collection history; size only against the net collectible MG after taxes, deductions, timing, currency and concentration haircuts.</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An executed, bankable MG can be one of the strongest forms of film and television collateral before delivery, because it converts licensed rights into a defined contractual receivable. MediaHedge nevertheless lends only against the verified, perfected and conservatively sized net payment obligation. Final executed documents, distributor credit and disciplined collateral control determine the protection available in each transaction.</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Pre-Sales as Collateral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Pre-Sales as Collateral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Pre-Sales as Collateral: A Financier's Crash Course</dc:title>
  <dc:subject>Executed pre-sales and minimum guarantees as collateral in MediaHedge-financed film and television transactions</dc:subject>
  <dc:creator>MediaHedge</dc:creator>
  <cp:keywords>pre-sale, minimum guarantee, MG, film finance, television finance, collateral, MediaHedge</cp:keywords>
  <dc:description>generated by python-docx</dc:description>
  <cp:lastModifiedBy/>
  <cp:revision>1</cp:revision>
  <dcterms:created xsi:type="dcterms:W3CDTF">2013-12-23T23:15:00Z</dcterms:created>
  <dcterms:modified xsi:type="dcterms:W3CDTF">2013-12-23T23:15:00Z</dcterms:modified>
  <cp:category/>
</cp:coreProperties>
</file>