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SALES ESTIMATES &amp; GAP, EXPLAINED</w:t>
      </w:r>
    </w:p>
    <w:p>
      <w:pPr>
        <w:spacing w:after="40"/>
      </w:pPr>
      <w:r>
        <w:rPr>
          <w:rFonts w:ascii="Calibri" w:hAnsi="Calibri" w:eastAsia="Calibri"/>
          <w:b/>
          <w:color w:val="17324D"/>
          <w:sz w:val="47"/>
        </w:rPr>
        <w:t>Sales Estimates &amp; Gap: A Financier's Crash Course</w:t>
      </w:r>
    </w:p>
    <w:p>
      <w:pPr>
        <w:spacing w:after="160"/>
      </w:pPr>
      <w:r>
        <w:rPr>
          <w:rFonts w:ascii="Calibri" w:hAnsi="Calibri" w:eastAsia="Calibri"/>
          <w:i/>
          <w:color w:val="65727E"/>
          <w:sz w:val="23"/>
        </w:rPr>
        <w:t>How conservatively underwritten unsold rights can support MediaHedge-financed productions</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sales estimate is a territory-by-territory forecast of what unsold film or television rights may generate after delivery. Gap financing advances against a discounted portion of that potential value before binding pre-sale contracts exist. The collateral is the verified unsold rights and their future sale proceeds - not cash, a guaranteed sale or an executed minimum-guarantee receivable.</w:t>
      </w:r>
    </w:p>
    <w:p>
      <w:pPr>
        <w:pStyle w:val="Heading1"/>
        <w:spacing w:before="100" w:after="60"/>
      </w:pPr>
      <w:r>
        <w:rPr>
          <w:rFonts w:ascii="Calibri" w:hAnsi="Calibri" w:eastAsia="Calibri"/>
          <w:b/>
          <w:color w:val="17324D"/>
          <w:sz w:val="30"/>
        </w:rPr>
        <w:t>Why gap matters in film and television finance</w:t>
      </w:r>
    </w:p>
    <w:p>
      <w:pPr>
        <w:spacing w:after="80"/>
      </w:pPr>
      <w:r>
        <w:rPr>
          <w:rFonts w:ascii="Calibri" w:hAnsi="Calibri" w:eastAsia="Calibri"/>
          <w:i w:val="0"/>
          <w:color w:val="17202A"/>
          <w:sz w:val="20"/>
        </w:rPr>
        <w:t>Productions spend cash before a finished program can be delivered, licensed and collected. Pre-sales may not cover the full budget, and producers often preserve territories for later sale when footage, cast, festival response or market positioning may improve value. A carefully sized gap component can bridge that timing mismatch and monetize part of the project's remaining distribution value. Because no distributor is yet obligated to pay, the financier underwrites both the asset and the future sales process: ownership and availability of rights, estimate quality, production completion, marketability, timing and control of eventual proceeds.</w:t>
      </w:r>
    </w:p>
    <w:p>
      <w:pPr>
        <w:pStyle w:val="Heading1"/>
        <w:spacing w:before="100" w:after="60"/>
      </w:pPr>
      <w:r>
        <w:rPr>
          <w:rFonts w:ascii="Calibri" w:hAnsi="Calibri" w:eastAsia="Calibri"/>
          <w:b/>
          <w:color w:val="17324D"/>
          <w:sz w:val="30"/>
        </w:rPr>
        <w:t>The five-part collateral structure</w:t>
      </w:r>
    </w:p>
    <w:p>
      <w:pPr>
        <w:pStyle w:val="ListNumber"/>
        <w:spacing w:after="60"/>
        <w:ind w:left="691" w:hanging="331"/>
      </w:pPr>
      <w:r>
        <w:rPr>
          <w:rFonts w:ascii="Calibri" w:hAnsi="Calibri" w:eastAsia="Calibri"/>
          <w:b/>
          <w:color w:val="17324D"/>
          <w:sz w:val="19"/>
        </w:rPr>
        <w:t xml:space="preserve">Verified unsold rights. </w:t>
      </w:r>
      <w:r>
        <w:rPr>
          <w:rFonts w:ascii="Calibri" w:hAnsi="Calibri" w:eastAsia="Calibri"/>
          <w:color w:val="17202A"/>
          <w:sz w:val="19"/>
        </w:rPr>
        <w:t>A detailed rights schedule identifies the available territories, media, languages, windows and any existing liens or restrictions.</w:t>
      </w:r>
    </w:p>
    <w:p>
      <w:pPr>
        <w:pStyle w:val="ListNumber"/>
        <w:spacing w:after="60"/>
        <w:ind w:left="691" w:hanging="331"/>
      </w:pPr>
      <w:r>
        <w:rPr>
          <w:rFonts w:ascii="Calibri" w:hAnsi="Calibri" w:eastAsia="Calibri"/>
          <w:b/>
          <w:color w:val="17324D"/>
          <w:sz w:val="19"/>
        </w:rPr>
        <w:t xml:space="preserve">Supported low estimate. </w:t>
      </w:r>
      <w:r>
        <w:rPr>
          <w:rFonts w:ascii="Calibri" w:hAnsi="Calibri" w:eastAsia="Calibri"/>
          <w:color w:val="17202A"/>
          <w:sz w:val="19"/>
        </w:rPr>
        <w:t>A credible sales agent provides high, medium and low cases grounded in comparable sales, buyer demand and current market conditions.</w:t>
      </w:r>
    </w:p>
    <w:p>
      <w:pPr>
        <w:pStyle w:val="ListNumber"/>
        <w:spacing w:after="60"/>
        <w:ind w:left="691" w:hanging="331"/>
      </w:pPr>
      <w:r>
        <w:rPr>
          <w:rFonts w:ascii="Calibri" w:hAnsi="Calibri" w:eastAsia="Calibri"/>
          <w:b/>
          <w:color w:val="17324D"/>
          <w:sz w:val="19"/>
        </w:rPr>
        <w:t xml:space="preserve">Conservative advance. </w:t>
      </w:r>
      <w:r>
        <w:rPr>
          <w:rFonts w:ascii="Calibri" w:hAnsi="Calibri" w:eastAsia="Calibri"/>
          <w:color w:val="17202A"/>
          <w:sz w:val="19"/>
        </w:rPr>
        <w:t>MediaHedge advances no more than 50% of the supported low estimate, and gap generally cannot exceed 30% of the final gross loan.</w:t>
      </w:r>
    </w:p>
    <w:p>
      <w:pPr>
        <w:pStyle w:val="ListNumber"/>
        <w:spacing w:after="60"/>
        <w:ind w:left="691" w:hanging="331"/>
      </w:pPr>
      <w:r>
        <w:rPr>
          <w:rFonts w:ascii="Calibri" w:hAnsi="Calibri" w:eastAsia="Calibri"/>
          <w:b/>
          <w:color w:val="17324D"/>
          <w:sz w:val="19"/>
        </w:rPr>
        <w:t xml:space="preserve">Completion and sales execution. </w:t>
      </w:r>
      <w:r>
        <w:rPr>
          <w:rFonts w:ascii="Calibri" w:hAnsi="Calibri" w:eastAsia="Calibri"/>
          <w:color w:val="17202A"/>
          <w:sz w:val="19"/>
        </w:rPr>
        <w:t>A completion bond supports delivery, while experienced sales representation, reporting and sale covenants govern commercialization.</w:t>
      </w:r>
    </w:p>
    <w:p>
      <w:pPr>
        <w:pStyle w:val="ListNumber"/>
        <w:spacing w:after="60"/>
        <w:ind w:left="691" w:hanging="331"/>
      </w:pPr>
      <w:r>
        <w:rPr>
          <w:rFonts w:ascii="Calibri" w:hAnsi="Calibri" w:eastAsia="Calibri"/>
          <w:b/>
          <w:color w:val="17324D"/>
          <w:sz w:val="19"/>
        </w:rPr>
        <w:t xml:space="preserve">Proceeds and payment control. </w:t>
      </w:r>
      <w:r>
        <w:rPr>
          <w:rFonts w:ascii="Calibri" w:hAnsi="Calibri" w:eastAsia="Calibri"/>
          <w:color w:val="17202A"/>
          <w:sz w:val="19"/>
        </w:rPr>
        <w:t>Security documents cover the rights and future proceeds; sales collections flow into a controlled account and the loan waterfall.</w:t>
      </w:r>
    </w:p>
    <w:p>
      <w:pPr>
        <w:pStyle w:val="Heading1"/>
        <w:spacing w:before="100" w:after="60"/>
      </w:pPr>
      <w:r>
        <w:rPr>
          <w:rFonts w:ascii="Calibri" w:hAnsi="Calibri" w:eastAsia="Calibri"/>
          <w:b/>
          <w:color w:val="17324D"/>
          <w:sz w:val="30"/>
        </w:rPr>
        <w:t>How a gap loan works</w:t>
      </w:r>
    </w:p>
    <w:p>
      <w:pPr>
        <w:spacing w:after="80"/>
      </w:pPr>
      <w:r>
        <w:rPr>
          <w:rFonts w:ascii="Calibri" w:hAnsi="Calibri" w:eastAsia="Calibri"/>
          <w:i w:val="0"/>
          <w:color w:val="17202A"/>
          <w:sz w:val="20"/>
        </w:rPr>
        <w:t>Before funding, MediaHedge confirms chain of title, which rights remain unsold, the sales agent's authority and track record, and the assumptions behind each territory estimate. Unsupported, duplicative, stale or encumbered value is removed, then the advance is sized to the tightest applicable ceiling - including no more than 50% of the supported low estimate, gap at no more than 30% of the final gross loan, aggregate LTV at no more than 60%, gross loan-to-budget at no more than 80%, and a term generally no longer than 15 months. After completion, the sales agent licenses the remaining rights; executed contracts convert estimates into receivables, and assigned collections repay the loan through the controlled waterfall.</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MediaHedge and its financing partner should hold first-priority security and assignment rights in the eligible unsold distribution rights, future license agreements and related proceeds, supported by appropriate UCC filings, copyright collateral, sales-agent acknowledgments and collection-account control. The documents should restrict unauthorized sales, liens, amendments and diversion of proceeds; require duplicate notices and reporting; and align the sales-agency agreement, completion documents, security package and waterfall. Because no fixed distributor obligor exists at closing, protection rests on collateral ownership, conservative sizing, delivery, disciplined sales execution and direct control of collections.</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Bankability, benefits and diligence</w:t>
      </w:r>
    </w:p>
    <w:p>
      <w:pPr>
        <w:pStyle w:val="Heading2"/>
        <w:spacing w:before="80" w:after="80"/>
      </w:pPr>
      <w:r>
        <w:rPr>
          <w:rFonts w:ascii="Calibri" w:hAnsi="Calibri" w:eastAsia="Calibri"/>
          <w:b/>
          <w:color w:val="2E6E9E"/>
          <w:sz w:val="24"/>
        </w:rPr>
        <w:t>From unsold rights to collected cash</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Stage</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Core protection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Rights</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Are the territories and media genuinely available?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Rights schedule, chain of title, lien search and first-priority collateral.</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Valuation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Is the low case credible and current?</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Territory comps, buyer demand, sales-agent history and independent reasonableness review.</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Sizing</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Would the advance survive a weak sales outcome?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50% low-case cap, 30% gap concentration cap and portfolio-level ceilings.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Execution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Can sales close and cash arrive within the term?</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Completion coverage, sale covenants, monitoring, assigned proceeds and controlled waterfall.</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Discounted entry value. </w:t>
      </w:r>
      <w:r>
        <w:rPr>
          <w:rFonts w:ascii="Calibri" w:hAnsi="Calibri" w:eastAsia="Calibri"/>
          <w:color w:val="17202A"/>
          <w:sz w:val="19"/>
        </w:rPr>
        <w:t>The advance is based on a fraction of the supported low estimate, not on the medium or high sales case.</w:t>
      </w:r>
    </w:p>
    <w:p>
      <w:pPr>
        <w:pStyle w:val="ListBullet"/>
        <w:spacing w:after="50"/>
        <w:ind w:left="720" w:hanging="360"/>
      </w:pPr>
      <w:r>
        <w:rPr>
          <w:rFonts w:ascii="Calibri" w:hAnsi="Calibri" w:eastAsia="Calibri"/>
          <w:b/>
          <w:color w:val="17202A"/>
          <w:sz w:val="19"/>
        </w:rPr>
        <w:t xml:space="preserve">Additional collateral breadth. </w:t>
      </w:r>
      <w:r>
        <w:rPr>
          <w:rFonts w:ascii="Calibri" w:hAnsi="Calibri" w:eastAsia="Calibri"/>
          <w:color w:val="17202A"/>
          <w:sz w:val="19"/>
        </w:rPr>
        <w:t>Unsold territories and rights can supplement contracted and other qualifying collateral without being treated as equally certain.</w:t>
      </w:r>
    </w:p>
    <w:p>
      <w:pPr>
        <w:pStyle w:val="ListBullet"/>
        <w:spacing w:after="50"/>
        <w:ind w:left="720" w:hanging="360"/>
      </w:pPr>
      <w:r>
        <w:rPr>
          <w:rFonts w:ascii="Calibri" w:hAnsi="Calibri" w:eastAsia="Calibri"/>
          <w:b/>
          <w:color w:val="17202A"/>
          <w:sz w:val="19"/>
        </w:rPr>
        <w:t xml:space="preserve">Conversion into stronger assets. </w:t>
      </w:r>
      <w:r>
        <w:rPr>
          <w:rFonts w:ascii="Calibri" w:hAnsi="Calibri" w:eastAsia="Calibri"/>
          <w:color w:val="17202A"/>
          <w:sz w:val="19"/>
        </w:rPr>
        <w:t>As licenses are executed, estimated rights value becomes identifiable contractual receivables that can be monitored and collected.</w:t>
      </w:r>
    </w:p>
    <w:p>
      <w:pPr>
        <w:pStyle w:val="ListBullet"/>
        <w:spacing w:after="50"/>
        <w:ind w:left="720" w:hanging="360"/>
      </w:pPr>
      <w:r>
        <w:rPr>
          <w:rFonts w:ascii="Calibri" w:hAnsi="Calibri" w:eastAsia="Calibri"/>
          <w:b/>
          <w:color w:val="17202A"/>
          <w:sz w:val="19"/>
        </w:rPr>
        <w:t xml:space="preserve">Direct proceeds control. </w:t>
      </w:r>
      <w:r>
        <w:rPr>
          <w:rFonts w:ascii="Calibri" w:hAnsi="Calibri" w:eastAsia="Calibri"/>
          <w:color w:val="17202A"/>
          <w:sz w:val="19"/>
        </w:rPr>
        <w:t>Assignments, sales-agent acknowledgments and controlled accounts route future licensing receipts into the loan waterfall.</w:t>
      </w:r>
    </w:p>
    <w:p>
      <w:pPr>
        <w:pStyle w:val="ListBullet"/>
        <w:spacing w:after="50"/>
        <w:ind w:left="720" w:hanging="360"/>
      </w:pPr>
      <w:r>
        <w:rPr>
          <w:rFonts w:ascii="Calibri" w:hAnsi="Calibri" w:eastAsia="Calibri"/>
          <w:b/>
          <w:color w:val="17202A"/>
          <w:sz w:val="19"/>
        </w:rPr>
        <w:t xml:space="preserve">Risk-adjusted pricing. </w:t>
      </w:r>
      <w:r>
        <w:rPr>
          <w:rFonts w:ascii="Calibri" w:hAnsi="Calibri" w:eastAsia="Calibri"/>
          <w:color w:val="17202A"/>
          <w:sz w:val="19"/>
        </w:rPr>
        <w:t>Gap inclusion generally contributes about 3-5 percentage points to blended pricing; actual loan-tape results and transaction mix control observed returns.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sales estimate is an opinion of potential value, not a receivable, appraisal guarantee or sales-agent payment obligation. Estimates can fail because of weak buyer demand, changing platforms, cast or genre performance, delayed delivery, rights conflicts, currency movement, taxes, commissions, expenses or optimistic comparables. Territory values are often correlated rather than independently diversified, and a sale may close later or for less than expected. A completion bond protects completion and delivery risk; it does not ordinarily pay because unsold rights underperform. No estimate should be treated as recourse unless an executed instrument expressly creates an enforceable guarantee. Price cannot cure weak evidence, excessive concentration or a broken repayment timeline.</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Rights and collateral. </w:t>
      </w:r>
      <w:r>
        <w:rPr>
          <w:rFonts w:ascii="Calibri" w:hAnsi="Calibri" w:eastAsia="Calibri"/>
          <w:color w:val="17202A"/>
          <w:sz w:val="19"/>
        </w:rPr>
        <w:t>Confirm chain of title, the unsold-rights schedule, sales-agent authority, existing licenses, liens, security perfection and collection-account control.</w:t>
      </w:r>
    </w:p>
    <w:p>
      <w:pPr>
        <w:pStyle w:val="ListBullet"/>
        <w:spacing w:after="50"/>
        <w:ind w:left="720" w:hanging="360"/>
      </w:pPr>
      <w:r>
        <w:rPr>
          <w:rFonts w:ascii="Calibri" w:hAnsi="Calibri" w:eastAsia="Calibri"/>
          <w:b/>
          <w:color w:val="17202A"/>
          <w:sz w:val="19"/>
        </w:rPr>
        <w:t xml:space="preserve">Estimate quality. </w:t>
      </w:r>
      <w:r>
        <w:rPr>
          <w:rFonts w:ascii="Calibri" w:hAnsi="Calibri" w:eastAsia="Calibri"/>
          <w:color w:val="17202A"/>
          <w:sz w:val="19"/>
        </w:rPr>
        <w:t>Test low-case territory assumptions, comparable titles, buyer demand, rights overlap, timing, commissions, taxes, currency and the agent's actual sales record.</w:t>
      </w:r>
    </w:p>
    <w:p>
      <w:pPr>
        <w:pStyle w:val="ListBullet"/>
        <w:spacing w:after="50"/>
        <w:ind w:left="720" w:hanging="360"/>
      </w:pPr>
      <w:r>
        <w:rPr>
          <w:rFonts w:ascii="Calibri" w:hAnsi="Calibri" w:eastAsia="Calibri"/>
          <w:b/>
          <w:color w:val="17202A"/>
          <w:sz w:val="19"/>
        </w:rPr>
        <w:t xml:space="preserve">Advance and concentration. </w:t>
      </w:r>
      <w:r>
        <w:rPr>
          <w:rFonts w:ascii="Calibri" w:hAnsi="Calibri" w:eastAsia="Calibri"/>
          <w:color w:val="17202A"/>
          <w:sz w:val="19"/>
        </w:rPr>
        <w:t>Apply every hard ceiling, use the tightest result, stress delays and shortfalls, and exclude promotional, stale, unavailable or unsupported value.</w:t>
      </w:r>
    </w:p>
    <w:p>
      <w:pPr>
        <w:pStyle w:val="ListBullet"/>
        <w:spacing w:after="50"/>
        <w:ind w:left="720" w:hanging="360"/>
      </w:pPr>
      <w:r>
        <w:rPr>
          <w:rFonts w:ascii="Calibri" w:hAnsi="Calibri" w:eastAsia="Calibri"/>
          <w:b/>
          <w:color w:val="17202A"/>
          <w:sz w:val="19"/>
        </w:rPr>
        <w:t xml:space="preserve">Completion and monitoring. </w:t>
      </w:r>
      <w:r>
        <w:rPr>
          <w:rFonts w:ascii="Calibri" w:hAnsi="Calibri" w:eastAsia="Calibri"/>
          <w:color w:val="17202A"/>
          <w:sz w:val="19"/>
        </w:rPr>
        <w:t>Require verified collateral and completion protection, budget and schedule reporting, sale covenants, contract conversion tracking and controlled collections.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Gap is sale-value collateral, not receivable collateral. It can responsibly expand a production's financing base when the unsold rights are verified, the low estimate is independently supported, the advance is heavily discounted and concentrated exposure remains limited. MediaHedge's protection comes from hard sizing rails, completion and sales oversight, first-priority collateral and direct control of every future dollar collected.</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Sales Estimates &amp; Gap as Collateral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Sales Estimates &amp; Gap as Collateral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Estimates &amp; Gap as Collateral: A Financier's Crash Course</dc:title>
  <dc:subject>Sales estimates and gap financing as collateral in MediaHedge-financed film and television transactions</dc:subject>
  <dc:creator>MediaHedge</dc:creator>
  <cp:keywords>sales estimates, gap finance, gap loan, unsold rights, film finance, television finance, collateral, MediaHedge</cp:keywords>
  <dc:description>generated by python-docx</dc:description>
  <cp:lastModifiedBy/>
  <cp:revision>1</cp:revision>
  <dcterms:created xsi:type="dcterms:W3CDTF">2013-12-23T23:15:00Z</dcterms:created>
  <dcterms:modified xsi:type="dcterms:W3CDTF">2013-12-23T23:15:00Z</dcterms:modified>
  <cp:category/>
</cp:coreProperties>
</file>