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PAYMENT RISK, EXPLAINED</w:t>
      </w:r>
    </w:p>
    <w:p>
      <w:pPr>
        <w:spacing w:after="40"/>
      </w:pPr>
      <w:r>
        <w:rPr>
          <w:rFonts w:ascii="Calibri" w:hAnsi="Calibri" w:eastAsia="Calibri"/>
          <w:b/>
          <w:color w:val="17324D"/>
          <w:sz w:val="47"/>
        </w:rPr>
        <w:t>Surety Bonds: A Financier's Crash Course</w:t>
      </w:r>
    </w:p>
    <w:p>
      <w:pPr>
        <w:spacing w:after="160"/>
      </w:pPr>
      <w:r>
        <w:rPr>
          <w:rFonts w:ascii="Calibri" w:hAnsi="Calibri" w:eastAsia="Calibri"/>
          <w:i/>
          <w:color w:val="65727E"/>
          <w:sz w:val="23"/>
        </w:rPr>
        <w:t>How targeted surety protection can support MediaHedge-financed film and television loans</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surety bond is a three-party contract under which a surety guarantees an obligee that a principal will perform or pay a specifically defined obligation. In media finance, it can be written to support a receivable after delivery or acceptance. It does not pay merely because a loan underperforms, and it does not replace completion coverage, collateral diligence or claim compliance.</w:t>
      </w:r>
    </w:p>
    <w:p>
      <w:pPr>
        <w:pStyle w:val="Heading1"/>
        <w:spacing w:before="100" w:after="60"/>
      </w:pPr>
      <w:r>
        <w:rPr>
          <w:rFonts w:ascii="Calibri" w:hAnsi="Calibri" w:eastAsia="Calibri"/>
          <w:b/>
          <w:color w:val="17324D"/>
          <w:sz w:val="30"/>
        </w:rPr>
        <w:t>Why surety protection matters in film and television</w:t>
      </w:r>
    </w:p>
    <w:p>
      <w:pPr>
        <w:spacing w:after="80"/>
      </w:pPr>
      <w:r>
        <w:rPr>
          <w:rFonts w:ascii="Calibri" w:hAnsi="Calibri" w:eastAsia="Calibri"/>
          <w:i w:val="0"/>
          <w:color w:val="17202A"/>
          <w:sz w:val="20"/>
        </w:rPr>
        <w:t>Repayment in film and television finance often depends on a sequence: production, delivery, acceptance, invoicing and payment. A completion bond can protect the first half of that chain by helping ensure the asset is finished and delivered. The financier may still face a separate risk that a distributor or other contractual obligor does not pay an accepted receivable. A carefully written surety or media-credit guarantee can support that defined payment obligation and provide a direct claim against the surety, subject to the bond's conditions and cap.</w:t>
      </w:r>
    </w:p>
    <w:p>
      <w:pPr>
        <w:pStyle w:val="Heading1"/>
        <w:spacing w:before="100" w:after="60"/>
      </w:pPr>
      <w:r>
        <w:rPr>
          <w:rFonts w:ascii="Calibri" w:hAnsi="Calibri" w:eastAsia="Calibri"/>
          <w:b/>
          <w:color w:val="17324D"/>
          <w:sz w:val="30"/>
        </w:rPr>
        <w:t>The three-party structure</w:t>
      </w:r>
    </w:p>
    <w:p>
      <w:pPr>
        <w:pStyle w:val="ListNumber"/>
        <w:spacing w:after="60"/>
        <w:ind w:left="691" w:hanging="331"/>
      </w:pPr>
      <w:r>
        <w:rPr>
          <w:rFonts w:ascii="Calibri" w:hAnsi="Calibri" w:eastAsia="Calibri"/>
          <w:b/>
          <w:color w:val="17324D"/>
          <w:sz w:val="19"/>
        </w:rPr>
        <w:t xml:space="preserve">Principal / obligor. </w:t>
      </w:r>
      <w:r>
        <w:rPr>
          <w:rFonts w:ascii="Calibri" w:hAnsi="Calibri" w:eastAsia="Calibri"/>
          <w:color w:val="17202A"/>
          <w:sz w:val="19"/>
        </w:rPr>
        <w:t>The party whose specified duty is bonded—for example, an entity obligated to make a payment under an identified contract.</w:t>
      </w:r>
    </w:p>
    <w:p>
      <w:pPr>
        <w:pStyle w:val="ListNumber"/>
        <w:spacing w:after="60"/>
        <w:ind w:left="691" w:hanging="331"/>
      </w:pPr>
      <w:r>
        <w:rPr>
          <w:rFonts w:ascii="Calibri" w:hAnsi="Calibri" w:eastAsia="Calibri"/>
          <w:b/>
          <w:color w:val="17324D"/>
          <w:sz w:val="19"/>
        </w:rPr>
        <w:t xml:space="preserve">Surety. </w:t>
      </w:r>
      <w:r>
        <w:rPr>
          <w:rFonts w:ascii="Calibri" w:hAnsi="Calibri" w:eastAsia="Calibri"/>
          <w:color w:val="17202A"/>
          <w:sz w:val="19"/>
        </w:rPr>
        <w:t>The company that conditionally backs the principal's obligation. It underwrites to avoid loss and typically receives indemnity or collateral from the principal.</w:t>
      </w:r>
    </w:p>
    <w:p>
      <w:pPr>
        <w:pStyle w:val="ListNumber"/>
        <w:spacing w:after="60"/>
        <w:ind w:left="691" w:hanging="331"/>
      </w:pPr>
      <w:r>
        <w:rPr>
          <w:rFonts w:ascii="Calibri" w:hAnsi="Calibri" w:eastAsia="Calibri"/>
          <w:b/>
          <w:color w:val="17324D"/>
          <w:sz w:val="19"/>
        </w:rPr>
        <w:t xml:space="preserve">Obligee / beneficiary. </w:t>
      </w:r>
      <w:r>
        <w:rPr>
          <w:rFonts w:ascii="Calibri" w:hAnsi="Calibri" w:eastAsia="Calibri"/>
          <w:color w:val="17202A"/>
          <w:sz w:val="19"/>
        </w:rPr>
        <w:t>The party protected by the bond. MediaHedge and its financing partner must be expressly named or covered by a valid co-obligee or beneficiary provision.</w:t>
      </w:r>
    </w:p>
    <w:p>
      <w:pPr>
        <w:pStyle w:val="ListNumber"/>
        <w:spacing w:after="60"/>
        <w:ind w:left="691" w:hanging="331"/>
      </w:pPr>
      <w:r>
        <w:rPr>
          <w:rFonts w:ascii="Calibri" w:hAnsi="Calibri" w:eastAsia="Calibri"/>
          <w:b/>
          <w:color w:val="17324D"/>
          <w:sz w:val="19"/>
        </w:rPr>
        <w:t xml:space="preserve">Bonded obligation. </w:t>
      </w:r>
      <w:r>
        <w:rPr>
          <w:rFonts w:ascii="Calibri" w:hAnsi="Calibri" w:eastAsia="Calibri"/>
          <w:color w:val="17202A"/>
          <w:sz w:val="19"/>
        </w:rPr>
        <w:t>The exact promise being guaranteed. The underlying contract, bond form, endorsements and payment directions must describe the same obligation.</w:t>
      </w:r>
    </w:p>
    <w:p>
      <w:pPr>
        <w:pStyle w:val="ListNumber"/>
        <w:spacing w:after="60"/>
        <w:ind w:left="691" w:hanging="331"/>
      </w:pPr>
      <w:r>
        <w:rPr>
          <w:rFonts w:ascii="Calibri" w:hAnsi="Calibri" w:eastAsia="Calibri"/>
          <w:b/>
          <w:color w:val="17324D"/>
          <w:sz w:val="19"/>
        </w:rPr>
        <w:t xml:space="preserve">Penal sum. </w:t>
      </w:r>
      <w:r>
        <w:rPr>
          <w:rFonts w:ascii="Calibri" w:hAnsi="Calibri" w:eastAsia="Calibri"/>
          <w:color w:val="17202A"/>
          <w:sz w:val="19"/>
        </w:rPr>
        <w:t>The stated maximum bond liability. It may be an aggregate cap and may not include interest, fees, defense costs or consequential losses unless expressly covered.</w:t>
      </w:r>
    </w:p>
    <w:p>
      <w:pPr>
        <w:pStyle w:val="Heading1"/>
        <w:spacing w:before="100" w:after="60"/>
      </w:pPr>
      <w:r>
        <w:rPr>
          <w:rFonts w:ascii="Calibri" w:hAnsi="Calibri" w:eastAsia="Calibri"/>
          <w:b/>
          <w:color w:val="17324D"/>
          <w:sz w:val="30"/>
        </w:rPr>
        <w:t>How a surety bond works</w:t>
      </w:r>
    </w:p>
    <w:p>
      <w:pPr>
        <w:spacing w:after="80"/>
      </w:pPr>
      <w:r>
        <w:rPr>
          <w:rFonts w:ascii="Calibri" w:hAnsi="Calibri" w:eastAsia="Calibri"/>
          <w:i w:val="0"/>
          <w:color w:val="17202A"/>
          <w:sz w:val="20"/>
        </w:rPr>
        <w:t>The parties first define and underwrite the obligation, principal, contract, amount and term. At closing, the surety issues the final bond and any co-obligee or payee endorsements, usually after receiving premium, indemnity and sometimes collateral. If the principal defaults, the obligees must satisfy the stated notice, waiting-period, proof and claim requirements. The surety then investigates and uses the remedy permitted by the instrument—such as paying a valid claim, arranging performance or cure, settling within the penal sum, or denying an uncovered claim. After payment, the surety may pursue indemnity, collateral or subrogation rights against the principal and related proceeds.</w:t>
      </w:r>
    </w:p>
    <w:p>
      <w:pPr>
        <w:pStyle w:val="Heading1"/>
        <w:spacing w:before="0" w:after="8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MediaHedge and the financing partner should be named as co-obligees, additional obligees or beneficiaries, with an enforceable direction for proceeds and a clear priority waterfall. 'Loss payee' is mainly an insurance-policy concept: it can be appropriate under production insurance, but it is not a substitute for being properly protected under the surety instrument itself. The bond, underlying contract, assignment, notice of assignment, account-control documents and interparty agreement should align on notices, amendments, claims, payment instructions and subrogation. Economically, the bond converts part of the original obligor exposure into conditional exposure to the surety plus strict documentary compliance; it does not eliminate risk.</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Comparison, benefits and diligence</w:t>
      </w:r>
    </w:p>
    <w:p>
      <w:pPr>
        <w:pStyle w:val="Heading2"/>
        <w:spacing w:before="80" w:after="80"/>
      </w:pPr>
      <w:r>
        <w:rPr>
          <w:rFonts w:ascii="Calibri" w:hAnsi="Calibri" w:eastAsia="Calibri"/>
          <w:b/>
          <w:color w:val="2E6E9E"/>
          <w:sz w:val="24"/>
        </w:rPr>
        <w:t>Surety bond versus completion bond</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Dimension</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Surety / credit guarantee</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Completion bond</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Primary risk</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 defined payment or performance obligation is not honored.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The production is not completed and delivered as required.</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Underwriting focus</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Obligor credit, contract enforceability, receivable validity, conditions and payment history.</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Script, budget, schedule, team, contingency, insurance and delivery plan.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Typical trigger</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 bonded default after required performance, acceptance, notice and any cure or waiting period.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 covered production default or material deviation under the completion documents.</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Typical remedy</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Pay, perform, arrange cure or settle as the bond permits, up to the penal sum.</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Intervene, take over, finance completion, deliver, or provide the stated payment remedy.</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Targeted payment support. </w:t>
      </w:r>
      <w:r>
        <w:rPr>
          <w:rFonts w:ascii="Calibri" w:hAnsi="Calibri" w:eastAsia="Calibri"/>
          <w:color w:val="17202A"/>
          <w:sz w:val="19"/>
        </w:rPr>
        <w:t>A properly drafted bond can protect a receivable or other obligation that sits directly in the loan's repayment path.</w:t>
      </w:r>
    </w:p>
    <w:p>
      <w:pPr>
        <w:pStyle w:val="ListBullet"/>
        <w:spacing w:after="50"/>
        <w:ind w:left="720" w:hanging="360"/>
      </w:pPr>
      <w:r>
        <w:rPr>
          <w:rFonts w:ascii="Calibri" w:hAnsi="Calibri" w:eastAsia="Calibri"/>
          <w:b/>
          <w:color w:val="17202A"/>
          <w:sz w:val="19"/>
        </w:rPr>
        <w:t xml:space="preserve">Direct contractual rights. </w:t>
      </w:r>
      <w:r>
        <w:rPr>
          <w:rFonts w:ascii="Calibri" w:hAnsi="Calibri" w:eastAsia="Calibri"/>
          <w:color w:val="17202A"/>
          <w:sz w:val="19"/>
        </w:rPr>
        <w:t>Named obligees can claim against the surety without relying solely on the producer to enforce the underlying agreement.</w:t>
      </w:r>
    </w:p>
    <w:p>
      <w:pPr>
        <w:pStyle w:val="ListBullet"/>
        <w:spacing w:after="50"/>
        <w:ind w:left="720" w:hanging="360"/>
      </w:pPr>
      <w:r>
        <w:rPr>
          <w:rFonts w:ascii="Calibri" w:hAnsi="Calibri" w:eastAsia="Calibri"/>
          <w:b/>
          <w:color w:val="17202A"/>
          <w:sz w:val="19"/>
        </w:rPr>
        <w:t xml:space="preserve">Independent credit review. </w:t>
      </w:r>
      <w:r>
        <w:rPr>
          <w:rFonts w:ascii="Calibri" w:hAnsi="Calibri" w:eastAsia="Calibri"/>
          <w:color w:val="17202A"/>
          <w:sz w:val="19"/>
        </w:rPr>
        <w:t>The surety performs its own underwriting of the principal and bonded obligation before putting its balance sheet at risk.</w:t>
      </w:r>
    </w:p>
    <w:p>
      <w:pPr>
        <w:pStyle w:val="ListBullet"/>
        <w:spacing w:after="50"/>
        <w:ind w:left="720" w:hanging="360"/>
      </w:pPr>
      <w:r>
        <w:rPr>
          <w:rFonts w:ascii="Calibri" w:hAnsi="Calibri" w:eastAsia="Calibri"/>
          <w:b/>
          <w:color w:val="17202A"/>
          <w:sz w:val="19"/>
        </w:rPr>
        <w:t xml:space="preserve">Defined recovery path. </w:t>
      </w:r>
      <w:r>
        <w:rPr>
          <w:rFonts w:ascii="Calibri" w:hAnsi="Calibri" w:eastAsia="Calibri"/>
          <w:color w:val="17202A"/>
          <w:sz w:val="19"/>
        </w:rPr>
        <w:t>The bond states the trigger, remedy, amount and claims process, improving clarity in a default scenario.</w:t>
      </w:r>
    </w:p>
    <w:p>
      <w:pPr>
        <w:pStyle w:val="ListBullet"/>
        <w:spacing w:after="50"/>
        <w:ind w:left="720" w:hanging="360"/>
      </w:pPr>
      <w:r>
        <w:rPr>
          <w:rFonts w:ascii="Calibri" w:hAnsi="Calibri" w:eastAsia="Calibri"/>
          <w:b/>
          <w:color w:val="17202A"/>
          <w:sz w:val="19"/>
        </w:rPr>
        <w:t xml:space="preserve">Complementary protection. </w:t>
      </w:r>
      <w:r>
        <w:rPr>
          <w:rFonts w:ascii="Calibri" w:hAnsi="Calibri" w:eastAsia="Calibri"/>
          <w:color w:val="17202A"/>
          <w:sz w:val="19"/>
        </w:rPr>
        <w:t>Surety can sit beside completion coverage, production insurance, assignments, controlled accounts and security interests.</w:t>
      </w:r>
    </w:p>
    <w:p>
      <w:pPr>
        <w:pStyle w:val="Heading2"/>
        <w:spacing w:before="120" w:after="60"/>
      </w:pPr>
      <w:r>
        <w:rPr>
          <w:rFonts w:ascii="Calibri" w:hAnsi="Calibri" w:eastAsia="Calibri"/>
          <w:b/>
          <w:color w:val="2E6E9E"/>
          <w:sz w:val="24"/>
        </w:rPr>
        <w:t>Important limits and common claim traps</w:t>
      </w:r>
    </w:p>
    <w:p>
      <w:pPr>
        <w:spacing w:after="80"/>
      </w:pPr>
      <w:r>
        <w:rPr>
          <w:rFonts w:ascii="Calibri" w:hAnsi="Calibri" w:eastAsia="Calibri"/>
          <w:i w:val="0"/>
          <w:color w:val="17202A"/>
          <w:sz w:val="20"/>
        </w:rPr>
        <w:t>A surety bond covers only the obligation described in the executed instrument. Liability may depend on delivery, acceptance, a valid invoice, declaration of default, timely notice, a cure or waiting period, proof of loss and preservation of the surety's rights. The penal sum may be an aggregate ceiling; interest, fees, disputed amounts, fraud, contract amendments, extensions, offsets, consequential losses or obligations outside the stated term may be excluded or limited. An assignment, waiver or material contract change made without required consent can impair coverage. A surety bond ordinarily does not cover production non-completion, tax-credit validity, market performance or every reason a borrower may fail to repay unless those risks are expressly bonded.</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Counterparty and authenticity. </w:t>
      </w:r>
      <w:r>
        <w:rPr>
          <w:rFonts w:ascii="Calibri" w:hAnsi="Calibri" w:eastAsia="Calibri"/>
          <w:color w:val="17202A"/>
          <w:sz w:val="19"/>
        </w:rPr>
        <w:t>Confirm the issuing entity, authority, financial strength, final signed form, bond number and authenticity—not merely a broker indication or specimen.</w:t>
      </w:r>
    </w:p>
    <w:p>
      <w:pPr>
        <w:pStyle w:val="ListBullet"/>
        <w:spacing w:after="50"/>
        <w:ind w:left="720" w:hanging="360"/>
      </w:pPr>
      <w:r>
        <w:rPr>
          <w:rFonts w:ascii="Calibri" w:hAnsi="Calibri" w:eastAsia="Calibri"/>
          <w:b/>
          <w:color w:val="17202A"/>
          <w:sz w:val="19"/>
        </w:rPr>
        <w:t xml:space="preserve">Names, obligation and proceeds. </w:t>
      </w:r>
      <w:r>
        <w:rPr>
          <w:rFonts w:ascii="Calibri" w:hAnsi="Calibri" w:eastAsia="Calibri"/>
          <w:color w:val="17202A"/>
          <w:sz w:val="19"/>
        </w:rPr>
        <w:t>Confirm both financing parties are protected; align the bonded contract, amount, acceptance standard, payment direction and priority waterfall.</w:t>
      </w:r>
    </w:p>
    <w:p>
      <w:pPr>
        <w:pStyle w:val="ListBullet"/>
        <w:spacing w:after="50"/>
        <w:ind w:left="720" w:hanging="360"/>
      </w:pPr>
      <w:r>
        <w:rPr>
          <w:rFonts w:ascii="Calibri" w:hAnsi="Calibri" w:eastAsia="Calibri"/>
          <w:b/>
          <w:color w:val="17202A"/>
          <w:sz w:val="19"/>
        </w:rPr>
        <w:t xml:space="preserve">Claim mechanics. </w:t>
      </w:r>
      <w:r>
        <w:rPr>
          <w:rFonts w:ascii="Calibri" w:hAnsi="Calibri" w:eastAsia="Calibri"/>
          <w:color w:val="17202A"/>
          <w:sz w:val="19"/>
        </w:rPr>
        <w:t>Test the trigger, notice, cure, waiting period, proof package, defenses, forum, limitations period, cancellation and tail coverage.</w:t>
      </w:r>
    </w:p>
    <w:p>
      <w:pPr>
        <w:pStyle w:val="ListBullet"/>
        <w:spacing w:after="50"/>
        <w:ind w:left="720" w:hanging="360"/>
      </w:pPr>
      <w:r>
        <w:rPr>
          <w:rFonts w:ascii="Calibri" w:hAnsi="Calibri" w:eastAsia="Calibri"/>
          <w:b/>
          <w:color w:val="17202A"/>
          <w:sz w:val="19"/>
        </w:rPr>
        <w:t xml:space="preserve">Amount, term and recovery. </w:t>
      </w:r>
      <w:r>
        <w:rPr>
          <w:rFonts w:ascii="Calibri" w:hAnsi="Calibri" w:eastAsia="Calibri"/>
          <w:color w:val="17202A"/>
          <w:sz w:val="19"/>
        </w:rPr>
        <w:t>Review the penal sum, aggregate limits, interest and fee treatment, amendments, assignments, subrogation and lien/intercreditor consequences.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A completion bond helps get the asset delivered; a surety or media-credit guarantee can help protect a specifically bonded payment after delivery. Used together, they can cover different links in the repayment chain—but only to the extent stated in the final executed documents. MediaHedge therefore treats surety as targeted credit support, not blanket loan insurance or a substitute for underwriting.</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Surety Bonds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Surety Bonds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Surety Bonds: A Financier's Crash Course</dc:title>
  <dc:subject>Surety protection in MediaHedge-financed film and television transactions</dc:subject>
  <dc:creator>MediaHedge</dc:creator>
  <cp:keywords>surety bond, credit guarantee, film finance, television finance, financier protection, MediaHedge</cp:keywords>
  <dc:description>generated by python-docx</dc:description>
  <cp:lastModifiedBy/>
  <cp:revision>1</cp:revision>
  <dcterms:created xsi:type="dcterms:W3CDTF">2013-12-23T23:15:00Z</dcterms:created>
  <dcterms:modified xsi:type="dcterms:W3CDTF">2013-12-23T23:15:00Z</dcterms:modified>
  <cp:category/>
</cp:coreProperties>
</file>