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c92a9b66229d1c545c37b8ab08086f3e018c859"/>
    <w:p>
      <w:pPr>
        <w:pStyle w:val="Heading1"/>
      </w:pPr>
      <w:r>
        <w:t xml:space="preserve">Working Reference: RFP 2026_PHL-14_NCD-07_305898</w:t>
      </w:r>
    </w:p>
    <w:p>
      <w:pPr>
        <w:pStyle w:val="FirstParagraph"/>
      </w:pPr>
      <w:r>
        <w:rPr>
          <w:bCs/>
          <w:b/>
        </w:rPr>
        <w:t xml:space="preserve">Technical Assistance for the Development and Implementation of Standardized Barangay Health Worker Training for Integrated NCD Care</w:t>
      </w:r>
    </w:p>
    <w:p>
      <w:pPr>
        <w:pStyle w:val="BodyText"/>
      </w:pPr>
      <w:r>
        <w:t xml:space="preserve">WHO Philippines / HSS / NCD Management</w:t>
      </w:r>
    </w:p>
    <w:p>
      <w:pPr>
        <w:pStyle w:val="BlockText"/>
      </w:pPr>
      <w:r>
        <w:t xml:space="preserve">Status: DRAFT working reference. Reconfirm the RFP’s current reference number and deadline with WHO Philippines Procurement before using this for an actual submission.</w:t>
      </w:r>
    </w:p>
    <w:p>
      <w:r>
        <w:pict>
          <v:rect style="width:0;height:1.5pt" o:hralign="center" o:hrstd="t" o:hr="t"/>
        </w:pict>
      </w:r>
    </w:p>
    <w:bookmarkStart w:id="20" w:name="rfp-at-a-glance"/>
    <w:p>
      <w:pPr>
        <w:pStyle w:val="Heading2"/>
      </w:pPr>
      <w:r>
        <w:t xml:space="preserve">1. RFP at a Glance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Reference</w:t>
            </w:r>
          </w:p>
        </w:tc>
        <w:tc>
          <w:tcPr/>
          <w:p>
            <w:pPr>
              <w:pStyle w:val="Compact"/>
              <w:jc w:val="left"/>
            </w:pPr>
            <w:r>
              <w:t xml:space="preserve">2026_PHL-14_NCD-07_305898</w:t>
            </w:r>
          </w:p>
        </w:tc>
      </w:tr>
      <w:tr>
        <w:tc>
          <w:tcPr/>
          <w:p>
            <w:pPr>
              <w:pStyle w:val="Compact"/>
              <w:jc w:val="left"/>
            </w:pPr>
            <w:r>
              <w:t xml:space="preserve">Issuing office</w:t>
            </w:r>
          </w:p>
        </w:tc>
        <w:tc>
          <w:tcPr/>
          <w:p>
            <w:pPr>
              <w:pStyle w:val="Compact"/>
              <w:jc w:val="left"/>
            </w:pPr>
            <w:r>
              <w:t xml:space="preserve">WHO Philippines / HSS / NCD Management</w:t>
            </w:r>
          </w:p>
        </w:tc>
      </w:tr>
      <w:tr>
        <w:tc>
          <w:tcPr/>
          <w:p>
            <w:pPr>
              <w:pStyle w:val="Compact"/>
              <w:jc w:val="left"/>
            </w:pPr>
            <w:r>
              <w:t xml:space="preserve">Issued / Closing (as stated in the RFP)</w:t>
            </w:r>
          </w:p>
        </w:tc>
        <w:tc>
          <w:tcPr/>
          <w:p>
            <w:pPr>
              <w:pStyle w:val="Compact"/>
              <w:jc w:val="left"/>
            </w:pPr>
            <w:r>
              <w:t xml:space="preserve">2 July 2026 / 16 July 2026, 11:00 PM (Manila) —</w:t>
            </w:r>
            <w:r>
              <w:t xml:space="preserve"> </w:t>
            </w:r>
            <w:r>
              <w:rPr>
                <w:bCs/>
                <w:b/>
              </w:rPr>
              <w:t xml:space="preserve">reconfirm before acting</w:t>
            </w:r>
          </w:p>
        </w:tc>
      </w:tr>
      <w:tr>
        <w:tc>
          <w:tcPr/>
          <w:p>
            <w:pPr>
              <w:pStyle w:val="Compact"/>
              <w:jc w:val="left"/>
            </w:pPr>
            <w:r>
              <w:t xml:space="preserve">Purpose</w:t>
            </w:r>
          </w:p>
        </w:tc>
        <w:tc>
          <w:tcPr/>
          <w:p>
            <w:pPr>
              <w:pStyle w:val="Compact"/>
              <w:jc w:val="left"/>
            </w:pPr>
            <w:r>
              <w:t xml:space="preserve">Establish a contract for technical assistance to develop, validate and implement a standardized, competency-based BHW training package for integrated NCD prevention and control, aligned with PhilPEN 2025 and WHO HEARTS</w:t>
            </w:r>
          </w:p>
        </w:tc>
      </w:tr>
      <w:tr>
        <w:tc>
          <w:tcPr/>
          <w:p>
            <w:pPr>
              <w:pStyle w:val="Compact"/>
              <w:jc w:val="left"/>
            </w:pPr>
            <w:r>
              <w:t xml:space="preserve">Duration</w:t>
            </w:r>
          </w:p>
        </w:tc>
        <w:tc>
          <w:tcPr/>
          <w:p>
            <w:pPr>
              <w:pStyle w:val="Compact"/>
              <w:jc w:val="left"/>
            </w:pPr>
            <w:r>
              <w:t xml:space="preserve">5 months from contract signing</w:t>
            </w:r>
          </w:p>
        </w:tc>
      </w:tr>
      <w:tr>
        <w:tc>
          <w:tcPr/>
          <w:p>
            <w:pPr>
              <w:pStyle w:val="Compact"/>
              <w:jc w:val="left"/>
            </w:pPr>
            <w:r>
              <w:t xml:space="preserve">Place of performance</w:t>
            </w:r>
          </w:p>
        </w:tc>
        <w:tc>
          <w:tcPr/>
          <w:p>
            <w:pPr>
              <w:pStyle w:val="Compact"/>
              <w:jc w:val="left"/>
            </w:pPr>
            <w:r>
              <w:t xml:space="preserve">Western Visayas — all districts of Iloilo Province, plus one training session in Guimaras</w:t>
            </w:r>
          </w:p>
        </w:tc>
      </w:tr>
      <w:tr>
        <w:tc>
          <w:tcPr/>
          <w:p>
            <w:pPr>
              <w:pStyle w:val="Compact"/>
              <w:jc w:val="left"/>
            </w:pPr>
            <w:r>
              <w:t xml:space="preserve">Evaluation</w:t>
            </w:r>
          </w:p>
        </w:tc>
        <w:tc>
          <w:tcPr/>
          <w:p>
            <w:pPr>
              <w:pStyle w:val="Compact"/>
              <w:jc w:val="left"/>
            </w:pPr>
            <w:r>
              <w:t xml:space="preserve">Combined scoring: 60% technical / 40% financial; 80% minimum technical threshold to proceed to financial evaluation</w:t>
            </w:r>
          </w:p>
        </w:tc>
      </w:tr>
      <w:tr>
        <w:tc>
          <w:tcPr/>
          <w:p>
            <w:pPr>
              <w:pStyle w:val="Compact"/>
              <w:jc w:val="left"/>
            </w:pPr>
            <w:r>
              <w:t xml:space="preserve">Submission</w:t>
            </w:r>
          </w:p>
        </w:tc>
        <w:tc>
          <w:tcPr/>
          <w:p>
            <w:pPr>
              <w:pStyle w:val="Compact"/>
              <w:jc w:val="left"/>
            </w:pPr>
            <w:r>
              <w:t xml:space="preserve">Two separate emails —</w:t>
            </w:r>
            <w:r>
              <w:t xml:space="preserve"> </w:t>
            </w:r>
            <w:r>
              <w:t xml:space="preserve">“</w:t>
            </w:r>
            <w:r>
              <w:t xml:space="preserve">TECHNICAL PROPOSAL</w:t>
            </w:r>
            <w:r>
              <w:t xml:space="preserve">”</w:t>
            </w:r>
            <w:r>
              <w:t xml:space="preserve"> </w:t>
            </w:r>
            <w:r>
              <w:t xml:space="preserve">(no pricing) and</w:t>
            </w:r>
            <w:r>
              <w:t xml:space="preserve"> </w:t>
            </w:r>
            <w:r>
              <w:t xml:space="preserve">“</w:t>
            </w:r>
            <w:r>
              <w:t xml:space="preserve">FINANCIAL PROPOSAL</w:t>
            </w:r>
            <w:r>
              <w:t xml:space="preserve">”</w:t>
            </w:r>
            <w:r>
              <w:t xml:space="preserve"> </w:t>
            </w:r>
            <w:r>
              <w:t xml:space="preserve">(Annex E) — to wpphlprocurement@who.int and wproungm@who.int</w:t>
            </w:r>
          </w:p>
        </w:tc>
      </w:tr>
    </w:tbl>
    <w:bookmarkEnd w:id="20"/>
    <w:bookmarkStart w:id="21" w:name="Xa1324f17c95be685cf7c7d570f7751254f5db85"/>
    <w:p>
      <w:pPr>
        <w:pStyle w:val="Heading2"/>
      </w:pPr>
      <w:r>
        <w:t xml:space="preserve">2. Terms of Reference — Outputs (Section 5.3 of the RFP)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Output</w:t>
            </w:r>
          </w:p>
        </w:tc>
        <w:tc>
          <w:tcPr/>
          <w:p>
            <w:pPr>
              <w:pStyle w:val="Compact"/>
              <w:jc w:val="left"/>
            </w:pPr>
            <w:r>
              <w:t xml:space="preserve">Summary</w:t>
            </w:r>
          </w:p>
        </w:tc>
      </w:tr>
      <w:tr>
        <w:tc>
          <w:tcPr/>
          <w:p>
            <w:pPr>
              <w:pStyle w:val="Compact"/>
              <w:jc w:val="left"/>
            </w:pPr>
            <w:r>
              <w:t xml:space="preserve">Output 1</w:t>
            </w:r>
          </w:p>
        </w:tc>
        <w:tc>
          <w:tcPr/>
          <w:p>
            <w:pPr>
              <w:pStyle w:val="Compact"/>
              <w:jc w:val="left"/>
            </w:pPr>
            <w:r>
              <w:t xml:space="preserve">Inception report, competency framework, review of existing Healthy Hearts Programme materials, stakeholder plan, workplan/Gantt chart</w:t>
            </w:r>
          </w:p>
        </w:tc>
      </w:tr>
      <w:tr>
        <w:tc>
          <w:tcPr/>
          <w:p>
            <w:pPr>
              <w:pStyle w:val="Compact"/>
              <w:jc w:val="left"/>
            </w:pPr>
            <w:r>
              <w:t xml:space="preserve">Output 2</w:t>
            </w:r>
          </w:p>
        </w:tc>
        <w:tc>
          <w:tcPr/>
          <w:p>
            <w:pPr>
              <w:pStyle w:val="Compact"/>
              <w:jc w:val="left"/>
            </w:pPr>
            <w:r>
              <w:t xml:space="preserve">Standardized training package: facilitator guides, participant manuals, bilingual instructional videos, digitized 29-criterion return-demonstration instrument</w:t>
            </w:r>
          </w:p>
        </w:tc>
      </w:tr>
      <w:tr>
        <w:tc>
          <w:tcPr/>
          <w:p>
            <w:pPr>
              <w:pStyle w:val="Compact"/>
              <w:jc w:val="left"/>
            </w:pPr>
            <w:r>
              <w:t xml:space="preserve">Output 3</w:t>
            </w:r>
          </w:p>
        </w:tc>
        <w:tc>
          <w:tcPr/>
          <w:p>
            <w:pPr>
              <w:pStyle w:val="Compact"/>
              <w:jc w:val="left"/>
            </w:pPr>
            <w:r>
              <w:t xml:space="preserve">Technical review, validation workshops with WHO/DOH/CHD/LGU stakeholders, finalized package, technical endorsement</w:t>
            </w:r>
          </w:p>
        </w:tc>
      </w:tr>
      <w:tr>
        <w:tc>
          <w:tcPr/>
          <w:p>
            <w:pPr>
              <w:pStyle w:val="Compact"/>
              <w:jc w:val="left"/>
            </w:pPr>
            <w:r>
              <w:t xml:space="preserve">Output 4</w:t>
            </w:r>
          </w:p>
        </w:tc>
        <w:tc>
          <w:tcPr/>
          <w:p>
            <w:pPr>
              <w:pStyle w:val="Compact"/>
              <w:jc w:val="left"/>
            </w:pPr>
            <w:r>
              <w:t xml:space="preserve">District-level training across all districts of Iloilo and one session in Guimaras; individual competency assessment</w:t>
            </w:r>
          </w:p>
        </w:tc>
      </w:tr>
      <w:tr>
        <w:tc>
          <w:tcPr/>
          <w:p>
            <w:pPr>
              <w:pStyle w:val="Compact"/>
              <w:jc w:val="left"/>
            </w:pPr>
            <w:r>
              <w:t xml:space="preserve">Output 5</w:t>
            </w:r>
          </w:p>
        </w:tc>
        <w:tc>
          <w:tcPr/>
          <w:p>
            <w:pPr>
              <w:pStyle w:val="Compact"/>
              <w:jc w:val="left"/>
            </w:pPr>
            <w:r>
              <w:t xml:space="preserve">Final technical report, scale-up framework, consolidated implementation package</w:t>
            </w:r>
          </w:p>
        </w:tc>
      </w:tr>
    </w:tbl>
    <w:p>
      <w:pPr>
        <w:pStyle w:val="BodyText"/>
      </w:pPr>
      <w:r>
        <w:t xml:space="preserve">BLHSD’s approach to Outputs 1–5 is unchanged from standard technical-assistance practice: reuse and validate existing Healthy Hearts Programme materials rather than starting from scratch, route all content through WHO/DOH technical review before publication, and sequence district-level training to let early sessions inform later ones.</w:t>
      </w:r>
      <w:r>
        <w:t xml:space="preserve"> </w:t>
      </w:r>
      <w:r>
        <w:rPr>
          <w:bCs/>
          <w:b/>
        </w:rPr>
        <w:t xml:space="preserve">Full technical methodology and the priced financial proposal for Outputs 1–5 are for BLHSD to complete separately, at its own rates, in the RFP’s own Section 5.10 / Annex E formats</w:t>
      </w:r>
      <w:r>
        <w:t xml:space="preserve"> </w:t>
      </w:r>
      <w:r>
        <w:t xml:space="preserve">— not fabricated here.</w:t>
      </w:r>
    </w:p>
    <w:bookmarkEnd w:id="21"/>
    <w:bookmarkStart w:id="22" w:name="proposed-timeline"/>
    <w:p>
      <w:pPr>
        <w:pStyle w:val="Heading2"/>
      </w:pPr>
      <w:r>
        <w:t xml:space="preserve">3. Proposed Timeline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Month</w:t>
            </w:r>
          </w:p>
        </w:tc>
        <w:tc>
          <w:tcPr/>
          <w:p>
            <w:pPr>
              <w:pStyle w:val="Compact"/>
              <w:jc w:val="left"/>
            </w:pPr>
            <w:r>
              <w:t xml:space="preserve">Phase</w:t>
            </w:r>
          </w:p>
        </w:tc>
      </w:tr>
      <w:tr>
        <w:tc>
          <w:tcPr/>
          <w:p>
            <w:pPr>
              <w:pStyle w:val="Compact"/>
              <w:jc w:val="left"/>
            </w:pPr>
            <w:r>
              <w:t xml:space="preserve">M1</w:t>
            </w:r>
          </w:p>
        </w:tc>
        <w:tc>
          <w:tcPr/>
          <w:p>
            <w:pPr>
              <w:pStyle w:val="Compact"/>
              <w:jc w:val="left"/>
            </w:pPr>
            <w:r>
              <w:t xml:space="preserve">Inception (Output 1)</w:t>
            </w:r>
          </w:p>
        </w:tc>
      </w:tr>
      <w:tr>
        <w:tc>
          <w:tcPr/>
          <w:p>
            <w:pPr>
              <w:pStyle w:val="Compact"/>
              <w:jc w:val="left"/>
            </w:pPr>
            <w:r>
              <w:t xml:space="preserve">M2–M3</w:t>
            </w:r>
          </w:p>
        </w:tc>
        <w:tc>
          <w:tcPr/>
          <w:p>
            <w:pPr>
              <w:pStyle w:val="Compact"/>
              <w:jc w:val="left"/>
            </w:pPr>
            <w:r>
              <w:t xml:space="preserve">Development (Output 2)</w:t>
            </w:r>
          </w:p>
        </w:tc>
      </w:tr>
      <w:tr>
        <w:tc>
          <w:tcPr/>
          <w:p>
            <w:pPr>
              <w:pStyle w:val="Compact"/>
              <w:jc w:val="left"/>
            </w:pPr>
            <w:r>
              <w:t xml:space="preserve">M3–M4</w:t>
            </w:r>
          </w:p>
        </w:tc>
        <w:tc>
          <w:tcPr/>
          <w:p>
            <w:pPr>
              <w:pStyle w:val="Compact"/>
              <w:jc w:val="left"/>
            </w:pPr>
            <w:r>
              <w:t xml:space="preserve">Validation (Output 3)</w:t>
            </w:r>
          </w:p>
        </w:tc>
      </w:tr>
      <w:tr>
        <w:tc>
          <w:tcPr/>
          <w:p>
            <w:pPr>
              <w:pStyle w:val="Compact"/>
              <w:jc w:val="left"/>
            </w:pPr>
            <w:r>
              <w:t xml:space="preserve">M4–M5</w:t>
            </w:r>
          </w:p>
        </w:tc>
        <w:tc>
          <w:tcPr/>
          <w:p>
            <w:pPr>
              <w:pStyle w:val="Compact"/>
              <w:jc w:val="left"/>
            </w:pPr>
            <w:r>
              <w:t xml:space="preserve">District-level implementation (Output 4)</w:t>
            </w:r>
          </w:p>
        </w:tc>
      </w:tr>
      <w:tr>
        <w:tc>
          <w:tcPr/>
          <w:p>
            <w:pPr>
              <w:pStyle w:val="Compact"/>
              <w:jc w:val="left"/>
            </w:pPr>
            <w:r>
              <w:t xml:space="preserve">M5</w:t>
            </w:r>
          </w:p>
        </w:tc>
        <w:tc>
          <w:tcPr/>
          <w:p>
            <w:pPr>
              <w:pStyle w:val="Compact"/>
              <w:jc w:val="left"/>
            </w:pPr>
            <w:r>
              <w:t xml:space="preserve">Final reporting (Output 5)</w:t>
            </w:r>
          </w:p>
        </w:tc>
      </w:tr>
    </w:tbl>
    <w:bookmarkEnd w:id="22"/>
    <w:bookmarkStart w:id="23" w:name="X7514c0343f657f807564619fe3cb7347ec43f0c"/>
    <w:p>
      <w:pPr>
        <w:pStyle w:val="Heading2"/>
      </w:pPr>
      <w:r>
        <w:t xml:space="preserve">4. Why BLHSD is well placed for this assignment</w:t>
      </w:r>
    </w:p>
    <w:p>
      <w:pPr>
        <w:pStyle w:val="FirstParagraph"/>
      </w:pPr>
      <w:r>
        <w:t xml:space="preserve">BLHSD is not approaching this as a first engagement with the subject matter. Its Equity in Health and Special Concerns Section has already designed BHW Connect Phase 2 — the DOH digital platform whose Year-1 flagship content module is this same HHP+ community NCD screening curriculum (see the separate WHO concept note). That means the competency framework, the seven competency domains, and the DOH return-demonstration instrument (29 criteria, 87-point maximum) are already mapped before this contract even starts.</w:t>
      </w:r>
    </w:p>
    <w:p>
      <w:r>
        <w:pict>
          <v:rect style="width:0;height:1.5pt" o:hralign="center" o:hrstd="t" o:hr="t"/>
        </w:pict>
      </w:r>
    </w:p>
    <w:bookmarkEnd w:id="23"/>
    <w:bookmarkStart w:id="26" w:name="X79286f1c1e73cc39758a4575bf7a261e862743f"/>
    <w:p>
      <w:pPr>
        <w:pStyle w:val="Heading2"/>
      </w:pPr>
      <w:r>
        <w:t xml:space="preserve">5. BHW Connect Phase 2 Development — Plan &amp; Budget for This Training</w:t>
      </w:r>
    </w:p>
    <w:p>
      <w:pPr>
        <w:pStyle w:val="FirstParagraph"/>
      </w:pPr>
      <w:r>
        <w:t xml:space="preserve">This is the one piece specific to this training assignment: what it takes to make sure the curriculum developed under this contract (Output 2) is authored in a form that plugs directly into BHW Connect Phase 2, rather than needing to be redone later.</w:t>
      </w:r>
    </w:p>
    <w:bookmarkStart w:id="24" w:name="plan"/>
    <w:p>
      <w:pPr>
        <w:pStyle w:val="Heading3"/>
      </w:pPr>
      <w:r>
        <w:t xml:space="preserve">5.1 Plan</w:t>
      </w:r>
    </w:p>
    <w:p>
      <w:pPr>
        <w:numPr>
          <w:ilvl w:val="0"/>
          <w:numId w:val="1001"/>
        </w:numPr>
        <w:pStyle w:val="Compact"/>
      </w:pPr>
      <w:r>
        <w:rPr>
          <w:bCs/>
          <w:b/>
        </w:rPr>
        <w:t xml:space="preserve">Author once, to platform-ready form.</w:t>
      </w:r>
      <w:r>
        <w:t xml:space="preserve"> </w:t>
      </w:r>
      <w:r>
        <w:t xml:space="preserve">The facilitator guides, participant manuals, quiz banks and the digitized return-demonstration instrument (Output 2) are drafted directly as BHW Connect Knowledge Base entries and e-learning modules, not as stand-alone training PDFs that would need a separate digitization pass later.</w:t>
      </w:r>
    </w:p>
    <w:p>
      <w:pPr>
        <w:numPr>
          <w:ilvl w:val="0"/>
          <w:numId w:val="1001"/>
        </w:numPr>
        <w:pStyle w:val="Compact"/>
      </w:pPr>
      <w:r>
        <w:rPr>
          <w:bCs/>
          <w:b/>
        </w:rPr>
        <w:t xml:space="preserve">Embed the people doing that work at BLHSD.</w:t>
      </w:r>
      <w:r>
        <w:t xml:space="preserve"> </w:t>
      </w:r>
      <w:r>
        <w:t xml:space="preserve">Three (3) staff are assigned to BLHSD’s Equity in Health and Special Concerns Section office for the training’s development period, doing this contract’s content-authoring work (Outputs 1–3) in platform-ready form.</w:t>
      </w:r>
    </w:p>
    <w:p>
      <w:pPr>
        <w:numPr>
          <w:ilvl w:val="0"/>
          <w:numId w:val="1001"/>
        </w:numPr>
        <w:pStyle w:val="Compact"/>
      </w:pPr>
      <w:r>
        <w:rPr>
          <w:bCs/>
          <w:b/>
        </w:rPr>
        <w:t xml:space="preserve">Give that office the tools to do it.</w:t>
      </w:r>
      <w:r>
        <w:t xml:space="preserve"> </w:t>
      </w:r>
      <w:r>
        <w:t xml:space="preserve">An AI/productivity subscription for the BLHSD office supports drafting, translation checking (Filipino/English) and first-pass content review during the same period.</w:t>
      </w:r>
    </w:p>
    <w:p>
      <w:pPr>
        <w:numPr>
          <w:ilvl w:val="0"/>
          <w:numId w:val="1001"/>
        </w:numPr>
        <w:pStyle w:val="Compact"/>
      </w:pPr>
      <w:r>
        <w:rPr>
          <w:bCs/>
          <w:b/>
        </w:rPr>
        <w:t xml:space="preserve">Duration matches the content-development half of the contract.</w:t>
      </w:r>
      <w:r>
        <w:t xml:space="preserve"> </w:t>
      </w:r>
      <w:r>
        <w:t xml:space="preserve">6 months — covering inception through validation (Outputs 1–3) — not the full 12-month platform build the separate concept note proposes; this is the training-specific slice of that larger effort.</w:t>
      </w:r>
    </w:p>
    <w:bookmarkEnd w:id="24"/>
    <w:bookmarkStart w:id="25" w:name="budget"/>
    <w:p>
      <w:pPr>
        <w:pStyle w:val="Heading3"/>
      </w:pPr>
      <w:r>
        <w:t xml:space="preserve">5.2 Budget</w:t>
      </w:r>
    </w:p>
    <w:tbl>
      <w:tblPr>
        <w:tblStyle w:val="Table"/>
        <w:tblW w:type="pct" w:w="5000"/>
        <w:tblLook w:firstRow="1" w:lastRow="0" w:firstColumn="0" w:lastColumn="0" w:noHBand="0" w:noVBand="0" w:val="0020"/>
        <w:jc w:val="start"/>
      </w:tblPr>
      <w:tblGrid>
        <w:gridCol w:w="2376"/>
        <w:gridCol w:w="2376"/>
        <w:gridCol w:w="3168"/>
      </w:tblGrid>
      <w:tr>
        <w:trPr>
          <w:tblHeader w:val="true"/>
        </w:trPr>
        <w:tc>
          <w:tcPr/>
          <w:p>
            <w:pPr>
              <w:pStyle w:val="Compact"/>
              <w:jc w:val="left"/>
            </w:pPr>
            <w:r>
              <w:t xml:space="preserve">Item</w:t>
            </w:r>
          </w:p>
        </w:tc>
        <w:tc>
          <w:tcPr/>
          <w:p>
            <w:pPr>
              <w:pStyle w:val="Compact"/>
              <w:jc w:val="left"/>
            </w:pPr>
            <w:r>
              <w:t xml:space="preserve">Basis</w:t>
            </w:r>
          </w:p>
        </w:tc>
        <w:tc>
          <w:tcPr/>
          <w:p>
            <w:pPr>
              <w:pStyle w:val="Compact"/>
              <w:jc w:val="right"/>
            </w:pPr>
            <w:r>
              <w:t xml:space="preserve">Cost (₱)</w:t>
            </w:r>
          </w:p>
        </w:tc>
      </w:tr>
      <w:tr>
        <w:tc>
          <w:tcPr/>
          <w:p>
            <w:pPr>
              <w:pStyle w:val="Compact"/>
              <w:jc w:val="left"/>
            </w:pPr>
            <w:r>
              <w:t xml:space="preserve">3 BLHSD-embedded staff, 6 months</w:t>
            </w:r>
          </w:p>
        </w:tc>
        <w:tc>
          <w:tcPr/>
          <w:p>
            <w:pPr>
              <w:pStyle w:val="Compact"/>
              <w:jc w:val="left"/>
            </w:pPr>
            <w:r>
              <w:t xml:space="preserve">Content authoring for Outputs 1–3, in BHW Connect-ready form</w:t>
            </w:r>
          </w:p>
        </w:tc>
        <w:tc>
          <w:tcPr/>
          <w:p>
            <w:pPr>
              <w:pStyle w:val="Compact"/>
              <w:jc w:val="right"/>
            </w:pPr>
            <w:r>
              <w:t xml:space="preserve">1,125,000</w:t>
            </w:r>
            <w:r>
              <w:t xml:space="preserve"> </w:t>
            </w:r>
            <w:r>
              <w:rPr>
                <w:iCs/>
                <w:i/>
              </w:rPr>
              <w:t xml:space="preserve">[RATE TBC]</w:t>
            </w:r>
          </w:p>
        </w:tc>
      </w:tr>
      <w:tr>
        <w:tc>
          <w:tcPr/>
          <w:p>
            <w:pPr>
              <w:pStyle w:val="Compact"/>
              <w:jc w:val="left"/>
            </w:pPr>
            <w:r>
              <w:t xml:space="preserve">AI/productivity subscription, BLHSD office, 6 months</w:t>
            </w:r>
          </w:p>
        </w:tc>
        <w:tc>
          <w:tcPr/>
          <w:p>
            <w:pPr>
              <w:pStyle w:val="Compact"/>
              <w:jc w:val="left"/>
            </w:pPr>
            <w:r>
              <w:t xml:space="preserve">Drafting, bilingual QA, first-pass content review</w:t>
            </w:r>
          </w:p>
        </w:tc>
        <w:tc>
          <w:tcPr/>
          <w:p>
            <w:pPr>
              <w:pStyle w:val="Compact"/>
              <w:jc w:val="right"/>
            </w:pPr>
            <w:r>
              <w:t xml:space="preserve">375,000</w:t>
            </w:r>
            <w:r>
              <w:t xml:space="preserve"> </w:t>
            </w:r>
            <w:r>
              <w:rPr>
                <w:iCs/>
                <w:i/>
              </w:rPr>
              <w:t xml:space="preserve">[RATE TBC]</w:t>
            </w:r>
          </w:p>
        </w:tc>
      </w:tr>
      <w:tr>
        <w:tc>
          <w:tcPr/>
          <w:p>
            <w:pPr>
              <w:pStyle w:val="Compact"/>
              <w:jc w:val="left"/>
            </w:pPr>
            <w:r>
              <w:rPr>
                <w:bCs/>
                <w:b/>
              </w:rPr>
              <w:t xml:space="preserve">Total</w:t>
            </w:r>
          </w:p>
        </w:tc>
        <w:tc>
          <w:tcPr/>
          <w:p>
            <w:pPr>
              <w:pStyle w:val="Compact"/>
            </w:pPr>
          </w:p>
        </w:tc>
        <w:tc>
          <w:tcPr/>
          <w:p>
            <w:pPr>
              <w:pStyle w:val="Compact"/>
              <w:jc w:val="right"/>
            </w:pPr>
            <w:r>
              <w:rPr>
                <w:bCs/>
                <w:b/>
              </w:rPr>
              <w:t xml:space="preserve">1,500,000</w:t>
            </w:r>
          </w:p>
        </w:tc>
      </w:tr>
    </w:tbl>
    <w:p>
      <w:pPr>
        <w:pStyle w:val="BodyText"/>
      </w:pPr>
      <w:r>
        <w:t xml:space="preserve">This is a small, self-contained addition, not a restatement of the concept note’s full ₱16.48M, 12-month platform-build ask — it only covers what this training’s own content development needs to also serve as usable BHW Connect Phase 2 material. Whether it is priced as a line inside this RFP’s own financial proposal, or funded alongside it, is for BLHSD to decide when the full Annex E is costed.</w:t>
      </w:r>
    </w:p>
    <w:p>
      <w:r>
        <w:pict>
          <v:rect style="width:0;height:1.5pt" o:hralign="center" o:hrstd="t" o:hr="t"/>
        </w:pict>
      </w:r>
    </w:p>
    <w:bookmarkEnd w:id="25"/>
    <w:bookmarkEnd w:id="26"/>
    <w:bookmarkStart w:id="27" w:name="open-items"/>
    <w:p>
      <w:pPr>
        <w:pStyle w:val="Heading2"/>
      </w:pPr>
      <w:r>
        <w:t xml:space="preserve">Open items</w:t>
      </w:r>
    </w:p>
    <w:p>
      <w:pPr>
        <w:numPr>
          <w:ilvl w:val="0"/>
          <w:numId w:val="1002"/>
        </w:numPr>
        <w:pStyle w:val="Compact"/>
      </w:pPr>
      <w:r>
        <w:t xml:space="preserve">Reconfirm the RFP’s current reference and deadline with WHO Philippines Procurement.</w:t>
      </w:r>
    </w:p>
    <w:p>
      <w:pPr>
        <w:numPr>
          <w:ilvl w:val="0"/>
          <w:numId w:val="1002"/>
        </w:numPr>
        <w:pStyle w:val="Compact"/>
      </w:pPr>
      <w:r>
        <w:t xml:space="preserve">Section 2’s technical approach and Section 5.2’s rates are placeholders for BLHSD to complete/cost — not a finished submission.</w:t>
      </w:r>
    </w:p>
    <w:p>
      <w:pPr>
        <w:numPr>
          <w:ilvl w:val="0"/>
          <w:numId w:val="1002"/>
        </w:numPr>
        <w:pStyle w:val="Compact"/>
      </w:pPr>
      <w:r>
        <w:t xml:space="preserve">When ready to submit, technical content (no prices) and the financial proposal (Annex E, including the Section 5.2 budget if BLHSD includes it there) go in two separate emails, per RFP Section 3 / Annex C.</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2026-09-19T06:51:33Z</dcterms:created>
  <dcterms:modified xsi:type="dcterms:W3CDTF">2026-09-19T06:51:33Z</dcterms:modified>
</cp:coreProperties>
</file>

<file path=docProps/custom.xml><?xml version="1.0" encoding="utf-8"?>
<Properties xmlns="http://schemas.openxmlformats.org/officeDocument/2006/custom-properties" xmlns:vt="http://schemas.openxmlformats.org/officeDocument/2006/docPropsVTypes"/>
</file>