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0E7C7B"/>
          <w:sz w:val="20"/>
          <w:szCs w:val="20"/>
        </w:rPr>
        <w:t xml:space="preserve">Response to WHO RFP 2026_PHL-14_NCD-07_305898</w:t>
      </w:r>
    </w:p>
    <w:p>
      <w:pPr>
        <w:spacing w:after="120"/>
      </w:pPr>
      <w:r>
        <w:rPr>
          <w:b/>
          <w:bCs/>
          <w:color w:val="1F3864"/>
          <w:sz w:val="40"/>
          <w:szCs w:val="40"/>
        </w:rPr>
        <w:t xml:space="preserve">Financial Proposal — Annex 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Technical Assistance for the Development and Implementation of Standardized Barangay Health Worker Training for Integrated NCD 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3B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FINANCIAL PROPOSAL — submit as its own email/envelope, subject “FINANCIAL PROPOSAL,” with Annex H if applicable. Currency: PHP.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Proposer: Bureau of Local Health Systems Development (BLHSD) delivery team, Department of Health, Republic of the Philippines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Counterpart: WHO Philippines / HSS / NCD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Status: DRAFT for internal BLHSD review. All unit rates below are illustrative placeholders, marked [RATE TBC], pending BLHSD's own costing against market rates — to be confirmed before submission.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3CD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How the ₱1,500,000 BLHSD line is treated in this budget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It is priced as its own labeled block (Section B.2), not distributed invisibly across other lines, and the Grand Total already includes it — it is not an amount requested in addition to the Grand Total.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If BLHSD needs to adjust overall pricing before submission, this block's ₱1,500,000 should be held constant and the other Output lines adjusted, so the inclusion stays exactly what was represented to WHO in the Technical Proposal.</w:t>
            </w:r>
          </w:p>
        </w:tc>
      </w:tr>
    </w:tbl>
    <w:p>
      <w:pPr>
        <w:pStyle w:val="Heading1"/>
        <w:spacing w:after="160" w:before="320"/>
      </w:pPr>
      <w:r>
        <w:rPr>
          <w:color w:val="1F3864"/>
        </w:rPr>
        <w:t xml:space="preserve">B.1  Cost by Output</w:t>
      </w:r>
    </w:p>
    <w:p>
      <w:pPr>
        <w:pStyle w:val="Heading2"/>
        <w:spacing w:after="120" w:before="240"/>
      </w:pPr>
      <w:r>
        <w:rPr>
          <w:color w:val="0E7C7B"/>
        </w:rPr>
        <w:t xml:space="preserve">Output 1 — Inception, Framework &amp; Implementation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(₱)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 costs (curriculum designer, NCD/clinical advisor)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technical costs (materials review, workplan tools)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 1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550,000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color w:val="0E7C7B"/>
        </w:rPr>
        <w:t xml:space="preserve">Output 2 — Standardized Training Package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(₱)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 costs (instructional designers ×2, clinical writer, video producer)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Bilingual video production, 6 modules (scripting, shoot, edit, graphics)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technical costs (authoring/production software)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 2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3,450,000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color w:val="0E7C7B"/>
        </w:rPr>
        <w:t xml:space="preserve">Output 3 — Validation &amp; Finalization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(₱)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 costs (technical writers, reviewers' honoraria)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Workshop/venue/logistics (technical review meetings, validation workshops)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 3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900,000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color w:val="0E7C7B"/>
        </w:rPr>
        <w:t xml:space="preserve">Output 4 — District-Level Implementation &amp; Competency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(₱)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 costs (trainers/facilitators, qualified assessors)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 logistics (venues, materials reproduction, in-region travel per Sections 5.4/5.7)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costs (assessment-tool printing/reproduction)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 4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1,900,000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color w:val="0E7C7B"/>
        </w:rPr>
        <w:t xml:space="preserve">Output 5 — Final Reporting &amp; Recommendations for Scale-Up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(₱)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 costs (M&amp;E/reporting specialist)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costs (final package production/formatting)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 5 Costs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500,000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/>
      </w:pPr>
      <w:r>
        <w:rPr>
          <w:b/>
          <w:bCs/>
          <w:i w:val="false"/>
          <w:iCs w:val="false"/>
          <w:sz w:val="22"/>
          <w:szCs w:val="22"/>
        </w:rPr>
        <w:t xml:space="preserve">Subtotal, Outputs 1–5: ₱7,300,000</w:t>
      </w:r>
    </w:p>
    <w:p>
      <w:pPr>
        <w:pStyle w:val="Heading1"/>
        <w:spacing w:after="160" w:before="320"/>
      </w:pPr>
      <w:r>
        <w:rPr>
          <w:color w:val="1F3864"/>
        </w:rPr>
        <w:t xml:space="preserve">B.2  Highlighted Inclusion — BLHSD Institutional Capacity Investment (5 months)</w:t>
      </w:r>
    </w:p>
    <w:p>
      <w:pPr>
        <w:spacing w:after="140"/>
      </w:pPr>
      <w:r>
        <w:rPr>
          <w:b w:val="false"/>
          <w:bCs w:val="false"/>
          <w:i/>
          <w:iCs/>
          <w:sz w:val="18"/>
          <w:szCs w:val="18"/>
        </w:rPr>
        <w:t xml:space="preserve">Cross-referenced to the Technical Proposal, Section A.3.3. Covers the full 5-month contract duration — the same duration as Output 1–5 delivery above, per TOR Section 5.5.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(₱)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BLHSD-embedded staff (Digital Platform / Content Development Officers), Equity in Health and Special Concerns Section, 5 months full-time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1,125,000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/ productivity subscription for BLHSD office, 5 months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375,000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BLHSD Institutional Capacity Investment — Total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1,500,000</w:t>
            </w:r>
          </w:p>
        </w:tc>
      </w:tr>
    </w:tbl>
    <w:p>
      <w:pPr>
        <w:pStyle w:val="Heading1"/>
        <w:spacing w:after="160" w:before="320"/>
      </w:pPr>
      <w:r>
        <w:rPr>
          <w:color w:val="1F3864"/>
        </w:rPr>
        <w:t xml:space="preserve">B.3  Contingency and Grand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(₱)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Subtotal, Outputs 1–5 (Section B.1)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7,300,000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BLHSD Institutional Capacity Investment (Section B.2)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1,500,000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Contingency — 5% of Outputs 1–5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365,000 [RATE TBC]</w:t>
            </w:r>
          </w:p>
        </w:tc>
      </w:tr>
      <w:tr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GRAND TOTAL COST OF THE PROPOSAL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9,165,000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sz w:val="18"/>
          <w:szCs w:val="18"/>
        </w:rPr>
        <w:t xml:space="preserve">≈ US$158,000 at ₱58/US$ (reference rate only; RFP Article 13 requires conversion at the UN Operational Rate of Exchange on the closing date for bid submission).</w:t>
      </w:r>
    </w:p>
    <w:p>
      <w:pPr>
        <w:spacing w:after="200"/>
      </w:pPr>
      <w:r>
        <w:rPr>
          <w:b/>
          <w:bCs/>
          <w:i w:val="false"/>
          <w:iCs w:val="false"/>
          <w:sz w:val="22"/>
          <w:szCs w:val="22"/>
        </w:rPr>
        <w:t xml:space="preserve">The BLHSD Institutional Capacity Investment (₱1,500,000) is fully contained within this Grand Total — it is 16.4% of the total proposed price, not an amount on top of it.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enclosed Proposal is valid for 60 days from the deadline for proposal submission, per RFP Section 3 (Article 14).</w:t>
      </w:r>
    </w:p>
    <w:p>
      <w:pPr>
        <w:pStyle w:val="Heading2"/>
        <w:spacing w:after="120" w:before="240"/>
      </w:pPr>
      <w:r>
        <w:rPr>
          <w:color w:val="0E7C7B"/>
        </w:rPr>
        <w:t xml:space="preserve">Agreed and accepted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Bureau of Local Health Systems Development (BLHSD), Department of Health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Mailing Address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[TO CONFIRM]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 and Title of duly authorized representative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[TO CONFIRM]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Signature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[TO CONFIRM]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Financial Proposal — Annex E · RFP 2026_PHL-14_NCD-07_305898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2026-09-19T06:14:26.777Z</dcterms:created>
  <dcterms:modified xsi:type="dcterms:W3CDTF">2026-09-19T06:14:26.777Z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