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0E7C7B"/>
          <w:sz w:val="20"/>
          <w:szCs w:val="20"/>
        </w:rPr>
        <w:t xml:space="preserve">Response to WHO RFP 2026_PHL-14_NCD-07_305898</w:t>
      </w:r>
    </w:p>
    <w:p>
      <w:pPr>
        <w:spacing w:after="120"/>
      </w:pPr>
      <w:r>
        <w:rPr>
          <w:b/>
          <w:bCs/>
          <w:color w:val="1F3864"/>
          <w:sz w:val="40"/>
          <w:szCs w:val="40"/>
        </w:rPr>
        <w:t xml:space="preserve">Technical Proposal</w:t>
      </w:r>
    </w:p>
    <w:p>
      <w:pPr>
        <w:spacing w:after="200"/>
      </w:pPr>
      <w:r>
        <w:rPr>
          <w:i/>
          <w:iCs/>
          <w:sz w:val="24"/>
          <w:szCs w:val="24"/>
        </w:rPr>
        <w:t xml:space="preserve">Technical Assistance for the Development and Implementation of Standardized Barangay Health Worker Training for Integrated NCD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3864" w:val="clear"/>
            <w:tcMar>
              <w:top w:type="dxa" w:w="160"/>
              <w:left w:type="dxa" w:w="200"/>
              <w:bottom w:type="dxa" w:w="160"/>
              <w:right w:type="dxa" w:w="200"/>
            </w:tcMar>
          </w:tcPr>
          <w:p>
            <w:r>
              <w:rPr>
                <w:b/>
                <w:bCs/>
                <w:color w:val="FFFFFF"/>
                <w:sz w:val="24"/>
                <w:szCs w:val="24"/>
              </w:rPr>
              <w:t xml:space="preserve">TECHNICAL PROPOSAL — submit as its own email/envelope, subject “TECHNICAL PROPOSAL,” with Annexes B, C, D and F. Contains no price or financial information.</w:t>
            </w:r>
          </w:p>
        </w:tc>
      </w:tr>
    </w:tbl>
    <w:p>
      <w:pPr>
        <w:spacing w:after="200"/>
      </w:pPr>
    </w:p>
    <w:p>
      <w:pPr>
        <w:spacing w:after="80"/>
      </w:pPr>
      <w:r>
        <w:rPr>
          <w:b w:val="false"/>
          <w:bCs w:val="false"/>
          <w:i w:val="false"/>
          <w:iCs w:val="false"/>
          <w:sz w:val="22"/>
          <w:szCs w:val="22"/>
        </w:rPr>
        <w:t xml:space="preserve">Proposer: Bureau of Local Health Systems Development (BLHSD) delivery team, Department of Health, Republic of the Philippines</w:t>
      </w:r>
    </w:p>
    <w:p>
      <w:pPr>
        <w:spacing w:after="240"/>
      </w:pPr>
      <w:r>
        <w:rPr>
          <w:b w:val="false"/>
          <w:bCs w:val="false"/>
          <w:i w:val="false"/>
          <w:iCs w:val="false"/>
          <w:sz w:val="22"/>
          <w:szCs w:val="22"/>
        </w:rPr>
        <w:t xml:space="preserve">Counterpart: WHO Philippines / HSS / NCD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0"/>
            </w:pPr>
            <w:r>
              <w:rPr>
                <w:i/>
                <w:iCs/>
                <w:sz w:val="19"/>
                <w:szCs w:val="19"/>
              </w:rPr>
              <w:t xml:space="preserve">Status: DRAFT for internal BLHSD review. The RFP's stated closing date (16 July 2026) predates this draft; reconfirm the current reference number and deadline with WHO Philippines Procurement (wpphlprocurement@who.int / wproungm@who.int) before submission.</w:t>
            </w:r>
          </w:p>
        </w:tc>
      </w:tr>
    </w:tbl>
    <w:p>
      <w:pPr>
        <w:pageBreakBefore/>
      </w:pPr>
      <w:r>
        <w:t xml:space="preserve"/>
      </w:r>
    </w:p>
    <w:p>
      <w:pPr>
        <w:pStyle w:val="Heading1"/>
        <w:spacing w:after="160" w:before="320"/>
      </w:pPr>
      <w:r>
        <w:rPr>
          <w:color w:val="1F3864"/>
        </w:rPr>
        <w:t xml:space="preserve">A.1  Executive Summary</w:t>
      </w:r>
    </w:p>
    <w:p>
      <w:pPr>
        <w:spacing w:after="160"/>
      </w:pPr>
      <w:r>
        <w:rPr>
          <w:b w:val="false"/>
          <w:bCs w:val="false"/>
          <w:i/>
          <w:iCs/>
          <w:sz w:val="18"/>
          <w:szCs w:val="18"/>
        </w:rPr>
        <w:t xml:space="preserve">(RFP Section 5.10.1 — maximum two pages)</w:t>
      </w:r>
    </w:p>
    <w:p>
      <w:pPr>
        <w:spacing w:after="160"/>
      </w:pPr>
      <w:r>
        <w:rPr>
          <w:b w:val="false"/>
          <w:bCs w:val="false"/>
          <w:i w:val="false"/>
          <w:iCs w:val="false"/>
          <w:sz w:val="22"/>
          <w:szCs w:val="22"/>
        </w:rPr>
        <w:t xml:space="preserve">The Bureau of Local Health Systems Development (BLHSD), Department of Health, proposes to deliver the standardized, competency-based Barangay Health Worker (BHW) training package for integrated NCD prevention and control described in this RFP's Terms of Reference — inception through district-level implementation in Iloilo and Guimaras, to final reporting and scale-up recommendations — over the five-month contract period.</w:t>
      </w:r>
    </w:p>
    <w:p>
      <w:pPr>
        <w:spacing w:after="160"/>
      </w:pPr>
      <w:r>
        <w:rPr>
          <w:b w:val="false"/>
          <w:bCs w:val="false"/>
          <w:i w:val="false"/>
          <w:iCs w:val="false"/>
          <w:sz w:val="22"/>
          <w:szCs w:val="22"/>
        </w:rPr>
        <w:t xml:space="preserve">BLHSD is not approaching this assignment as a first engagement with the subject matter. Its Equity in Health and Special Concerns Section has been developing BHW Connect, the Department of Health's national digital platform for the BHW workforce — including a Phase 2 design, already reviewed with WHO Philippines, whose Year-1 flagship content module is this same HHP+ community NCD screening curriculum. That design work means this proposal is not starting from a blank page on curriculum structure, competency mapping, or the DOH return-demonstration instrument for capillary blood glucose monitoring (29 criteria, 87-point maximum, competency bands at 90% and 75%): it is already mapped, and this contract is where it is authored, validated, produced and delivered to a live cohort.</w:t>
      </w:r>
    </w:p>
    <w:p>
      <w:pPr>
        <w:spacing w:after="100"/>
      </w:pPr>
      <w:r>
        <w:rPr>
          <w:b w:val="false"/>
          <w:bCs w:val="false"/>
          <w:i w:val="false"/>
          <w:iCs w:val="false"/>
          <w:sz w:val="22"/>
          <w:szCs w:val="22"/>
        </w:rPr>
        <w:t xml:space="preserve">Two things distinguish this proposal beyond compliance with the Terms of Reference:</w:t>
      </w:r>
    </w:p>
    <w:p>
      <w:pPr>
        <w:pStyle w:val="ListParagraph"/>
        <w:numPr>
          <w:ilvl w:val="0"/>
          <w:numId w:val="1"/>
        </w:numPr>
        <w:spacing w:after="100"/>
      </w:pPr>
      <w:r>
        <w:rPr>
          <w:sz w:val="22"/>
          <w:szCs w:val="22"/>
        </w:rPr>
        <w:t xml:space="preserve">A single standard, not two. Because BLHSD is both the platform owner for BHW Connect and, under this proposal, the training contractor, the video-anchored curriculum delivered in Iloilo and Guimaras and the version later digitized on the national platform are authored once, jointly reviewed, and never diverge — closing a risk that exists whenever these two workstreams sit with different organizations.</w:t>
      </w:r>
    </w:p>
    <w:p>
      <w:pPr>
        <w:pStyle w:val="ListParagraph"/>
        <w:numPr>
          <w:ilvl w:val="0"/>
          <w:numId w:val="1"/>
        </w:numPr>
        <w:spacing w:after="100"/>
      </w:pPr>
      <w:r>
        <w:rPr>
          <w:sz w:val="22"/>
          <w:szCs w:val="22"/>
        </w:rPr>
        <w:t xml:space="preserve">An institutional capacity investment at no net increase to this proposal's price. Within the total cost of this proposal, BLHSD is embedding three (3) additional BHW Connect development staff at its Equity in Health and Special Concerns Section office for the five-month contract term, together with an AI/productivity subscription for that office, so that curriculum-development effort under this contract directly advances the national platform BLHSD is building around it. This is detailed in Section A.3 below and priced transparently in the Financial Proposal (Annex E); it is not an additional cost sought beyond the total proposed price.</w:t>
      </w:r>
    </w:p>
    <w:p>
      <w:pPr>
        <w:spacing w:after="160"/>
      </w:pPr>
      <w:r>
        <w:rPr>
          <w:b w:val="false"/>
          <w:bCs w:val="false"/>
          <w:i w:val="false"/>
          <w:iCs w:val="false"/>
          <w:sz w:val="22"/>
          <w:szCs w:val="22"/>
        </w:rPr>
        <w:t xml:space="preserve">BLHSD's approach across the assignment: (i) an inception phase that confirms the training framework and workplan against PhilPEN 2025 and WHO HEARTS guidance and reviews the existing Healthy Hearts Programme materials for reuse; (ii) parallel development of the six-module curriculum, facilitator guides, participant manuals, instructional videos and the digitized return-demonstration instrument; (iii) a structured technical review and validation cycle with WHO Philippines and DOH programme experts; (iv) phased district-level training across all districts of Iloilo Province and one session in Guimaras, with individual competency assessment against the DOH standard; and (v) a final report with a scale-up framework — informed directly by BLHSD's own national rollout experience from BHW Connect Phase 1, which profiled close to 300,000 BHWs nationwide.</w:t>
      </w:r>
    </w:p>
    <w:p>
      <w:pPr>
        <w:spacing w:after="0"/>
      </w:pPr>
      <w:r>
        <w:rPr>
          <w:b w:val="false"/>
          <w:bCs w:val="false"/>
          <w:i w:val="false"/>
          <w:iCs w:val="false"/>
          <w:sz w:val="22"/>
          <w:szCs w:val="22"/>
        </w:rPr>
        <w:t xml:space="preserve">BLHSD's added value is precisely this: a government bureau that has already taken a national BHW digital system from concept to nationwide adoption, proposing to deliver a regional training contract in a way that leaves government capacity, not just a training report, behind it.</w:t>
      </w:r>
    </w:p>
    <w:p>
      <w:pPr>
        <w:pStyle w:val="Heading1"/>
        <w:spacing w:after="160" w:before="320"/>
      </w:pPr>
      <w:r>
        <w:rPr>
          <w:color w:val="1F3864"/>
        </w:rPr>
        <w:t xml:space="preserve">A.2  Approach and Methodology</w:t>
      </w:r>
    </w:p>
    <w:p>
      <w:pPr>
        <w:spacing w:after="160"/>
      </w:pPr>
      <w:r>
        <w:rPr>
          <w:b w:val="false"/>
          <w:bCs w:val="false"/>
          <w:i/>
          <w:iCs/>
          <w:sz w:val="18"/>
          <w:szCs w:val="18"/>
        </w:rPr>
        <w:t xml:space="preserve">(RFP Section 5.10.2)</w:t>
      </w:r>
    </w:p>
    <w:p>
      <w:pPr>
        <w:pStyle w:val="ListParagraph"/>
        <w:numPr>
          <w:ilvl w:val="0"/>
          <w:numId w:val="1"/>
        </w:numPr>
        <w:spacing w:after="100"/>
      </w:pPr>
      <w:r>
        <w:rPr>
          <w:sz w:val="22"/>
          <w:szCs w:val="22"/>
        </w:rPr>
        <w:t xml:space="preserve">Grounding in existing, WHO-financed clinical substance. The curriculum builds on the existing Healthy Hearts Programme training materials and instructional video modules, PhilPEN 2025, and WHO HEARTS technical guidance, rather than developing content from a blank page. Materials are reviewed and classified — retain, revise, or newly develop — before drafting begins, per TOR Output 1.</w:t>
      </w:r>
    </w:p>
    <w:p>
      <w:pPr>
        <w:pStyle w:val="ListParagraph"/>
        <w:numPr>
          <w:ilvl w:val="0"/>
          <w:numId w:val="1"/>
        </w:numPr>
        <w:spacing w:after="100"/>
      </w:pPr>
      <w:r>
        <w:rPr>
          <w:sz w:val="22"/>
          <w:szCs w:val="22"/>
        </w:rPr>
        <w:t xml:space="preserve">Competency-based, adult-learning design. Curriculum, quiz banks and skills-demonstration checklists are built to the seven competency domains and mapped directly to defined learning objectives per module.</w:t>
      </w:r>
    </w:p>
    <w:p>
      <w:pPr>
        <w:pStyle w:val="ListParagraph"/>
        <w:numPr>
          <w:ilvl w:val="0"/>
          <w:numId w:val="1"/>
        </w:numPr>
        <w:spacing w:after="100"/>
      </w:pPr>
      <w:r>
        <w:rPr>
          <w:sz w:val="22"/>
          <w:szCs w:val="22"/>
        </w:rPr>
        <w:t xml:space="preserve">Structured technical review and validation. All content is routed through a Content Review Panel — DOH programme experts, WHO technical staff and clinical reviewers — before finalization, mirroring the content-governance process BLHSD has already designed for BHW Connect.</w:t>
      </w:r>
    </w:p>
    <w:p>
      <w:pPr>
        <w:pStyle w:val="ListParagraph"/>
        <w:numPr>
          <w:ilvl w:val="0"/>
          <w:numId w:val="1"/>
        </w:numPr>
        <w:spacing w:after="100"/>
      </w:pPr>
      <w:r>
        <w:rPr>
          <w:sz w:val="22"/>
          <w:szCs w:val="22"/>
        </w:rPr>
        <w:t xml:space="preserve">Stakeholder engagement and coordination. DOH units, CHD Western Visayas, PHOs, LGUs, professional societies and relevant development partners are engaged from inception through validation, consistent with TOR Deliverable 1.4.</w:t>
      </w:r>
    </w:p>
    <w:p>
      <w:pPr>
        <w:pStyle w:val="ListParagraph"/>
        <w:numPr>
          <w:ilvl w:val="0"/>
          <w:numId w:val="1"/>
        </w:numPr>
        <w:spacing w:after="100"/>
      </w:pPr>
      <w:r>
        <w:rPr>
          <w:sz w:val="22"/>
          <w:szCs w:val="22"/>
        </w:rPr>
        <w:t xml:space="preserve">Phased, monitored implementation. District-level training in Iloilo and the Guimaras session are sequenced so lessons from early sessions inform later ones, with pre/post knowledge assessment and practical skills validation captured systematically.</w:t>
      </w:r>
    </w:p>
    <w:p>
      <w:pPr>
        <w:pStyle w:val="ListParagraph"/>
        <w:numPr>
          <w:ilvl w:val="0"/>
          <w:numId w:val="1"/>
        </w:numPr>
        <w:spacing w:after="100"/>
      </w:pPr>
      <w:r>
        <w:rPr>
          <w:sz w:val="22"/>
          <w:szCs w:val="22"/>
        </w:rPr>
        <w:t xml:space="preserve">Quality assurance and risk mitigation. Version control and named ownership on every material; a documented internal review protocol before content reaches the Content Review Panel; a risk log reviewed monthly with WHO Philippines.</w:t>
      </w:r>
    </w:p>
    <w:p>
      <w:pPr>
        <w:pStyle w:val="Heading1"/>
        <w:spacing w:after="160" w:before="320"/>
      </w:pPr>
      <w:r>
        <w:rPr>
          <w:color w:val="1F3864"/>
        </w:rPr>
        <w:t xml:space="preserve">A.3  Proposed Solution</w:t>
      </w:r>
    </w:p>
    <w:p>
      <w:pPr>
        <w:spacing w:after="200"/>
      </w:pPr>
      <w:r>
        <w:rPr>
          <w:b w:val="false"/>
          <w:bCs w:val="false"/>
          <w:i/>
          <w:iCs/>
          <w:sz w:val="18"/>
          <w:szCs w:val="18"/>
        </w:rPr>
        <w:t xml:space="preserve">(RFP Section 5.10.3 — technical solution, sequencing, roles, coordination mechanisms and added value. No cost figures in this section; see the separate Financial Proposal, Annex E.)</w:t>
      </w:r>
    </w:p>
    <w:p>
      <w:pPr>
        <w:pStyle w:val="Heading2"/>
        <w:spacing w:after="120" w:before="240"/>
      </w:pPr>
      <w:r>
        <w:rPr>
          <w:color w:val="0E7C7B"/>
        </w:rPr>
        <w:t xml:space="preserve">A.3.1  Solution by Output (TOR Section 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b/>
                <w:bCs/>
                <w:color w:val="FFFFFF"/>
                <w:sz w:val="20"/>
                <w:szCs w:val="20"/>
              </w:rPr>
              <w:t xml:space="preserve">Output</w:t>
            </w:r>
          </w:p>
        </w:tc>
        <w:tc>
          <w:tcPr>
            <w:tcW w:type="dxa" w:w="74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b/>
                <w:bCs/>
                <w:color w:val="FFFFFF"/>
                <w:sz w:val="20"/>
                <w:szCs w:val="20"/>
              </w:rPr>
              <w:t xml:space="preserve">BLHSD's approach</w:t>
            </w:r>
          </w:p>
        </w:tc>
      </w:tr>
      <w:tr>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Output 1 — Inception, framework, implementation design</w:t>
            </w:r>
          </w:p>
        </w:tc>
        <w:tc>
          <w:tcPr>
            <w:tcW w:type="dxa" w:w="7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Systematic review of existing Healthy Hearts Programme materials; competency framework drafted against the seven domains; stakeholder and implementation plan; Gantt-charted workplan for WHO/DOH sign-off before Output 2 begins.</w:t>
            </w:r>
          </w:p>
        </w:tc>
      </w:tr>
      <w:tr>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Output 2 — Standardized training package development</w:t>
            </w:r>
          </w:p>
        </w:tc>
        <w:tc>
          <w:tcPr>
            <w:tcW w:type="dxa" w:w="7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Facilitator guides, participant manuals, session plans and practical exercises drafted in parallel with instructional video production (bilingual, Filipino/English); pre/post knowledge assessments and the digitized 29-criterion return-demonstration instrument built to the existing DOH standard, not a new one.</w:t>
            </w:r>
          </w:p>
        </w:tc>
      </w:tr>
      <w:tr>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Output 3 — Validation and finalization</w:t>
            </w:r>
          </w:p>
        </w:tc>
        <w:tc>
          <w:tcPr>
            <w:tcW w:type="dxa" w:w="7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Technical review meetings and validation workshops with WHO Philippines, DOH and CHD/LGU stakeholders; revisions incorporated and tracked; technical endorsement documented before Output 4 begins.</w:t>
            </w:r>
          </w:p>
        </w:tc>
      </w:tr>
      <w:tr>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Output 4 — District-level implementation and competency validation</w:t>
            </w:r>
          </w:p>
        </w:tc>
        <w:tc>
          <w:tcPr>
            <w:tcW w:type="dxa" w:w="7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Training sessions in all districts of Iloilo Province and one session in Guimaras, using the validated, video-supported package; individual knowledge and practical skills assessment for every participant; performance summarized by district.</w:t>
            </w:r>
          </w:p>
        </w:tc>
      </w:tr>
      <w:tr>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Output 5 — Final reporting and scale-up</w:t>
            </w:r>
          </w:p>
        </w:tc>
        <w:tc>
          <w:tcPr>
            <w:tcW w:type="dxa" w:w="7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Comprehensive final report; a scale-up framework for adaptation beyond Western Visayas; consolidated, editable and publication-ready implementation package.</w:t>
            </w:r>
          </w:p>
        </w:tc>
      </w:tr>
    </w:tbl>
    <w:p>
      <w:pPr>
        <w:pStyle w:val="Heading2"/>
        <w:spacing w:after="120" w:before="240"/>
      </w:pPr>
      <w:r>
        <w:rPr>
          <w:color w:val="0E7C7B"/>
        </w:rPr>
        <w:t xml:space="preserve">A.3.2  Team structure and coordination mechanisms</w:t>
      </w:r>
    </w:p>
    <w:p>
      <w:pPr>
        <w:spacing w:after="160"/>
      </w:pPr>
      <w:r>
        <w:rPr>
          <w:b w:val="false"/>
          <w:bCs w:val="false"/>
          <w:i w:val="false"/>
          <w:iCs w:val="false"/>
          <w:sz w:val="22"/>
          <w:szCs w:val="22"/>
        </w:rPr>
        <w:t xml:space="preserve">A Project Manager (7–10 years' relevant experience, per TOR Section 5.2.4) leads a core team covering NCD/clinical content, instructional design and video production, and training/logistics delivery, supported by BLHSD's existing Equity in Health and Special Concerns Section for DOH-side coordination, content governance and stakeholder access. Coordination with WHO Philippines and DOH follows the monthly written progress update and formal per-deliverable reporting the TOR requires (Section 5.6), plus BLHSD's own BHW Connect technical-review checkpoints, applied here for consistency.</w:t>
      </w:r>
    </w:p>
    <w:p>
      <w:pPr>
        <w:pStyle w:val="Heading2"/>
        <w:spacing w:after="120" w:before="240"/>
      </w:pPr>
      <w:r>
        <w:rPr>
          <w:color w:val="0E7C7B"/>
        </w:rPr>
        <w:t xml:space="preserve">A.3.3  Added value: institutional capacity investment (no net increase to proposal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8"/>
              <w:bottom w:val="single" w:color="C9A227" w:sz="8"/>
              <w:right w:val="single" w:color="C9A227" w:sz="8"/>
            </w:tcBorders>
            <w:shd w:fill="FFF3CD" w:val="clear"/>
            <w:tcMar>
              <w:top w:type="dxa" w:w="200"/>
              <w:left w:type="dxa" w:w="220"/>
              <w:bottom w:type="dxa" w:w="200"/>
              <w:right w:type="dxa" w:w="220"/>
            </w:tcMar>
          </w:tcPr>
          <w:p>
            <w:pPr>
              <w:spacing w:after="100"/>
            </w:pPr>
            <w:r>
              <w:rPr>
                <w:b/>
                <w:bCs/>
                <w:sz w:val="22"/>
                <w:szCs w:val="22"/>
              </w:rPr>
              <w:t xml:space="preserve">Highlighted inclusion — see the Financial Proposal (Annex E) for full costing.</w:t>
            </w:r>
          </w:p>
          <w:p>
            <w:pPr>
              <w:spacing w:after="100"/>
            </w:pPr>
            <w:r>
              <w:rPr>
                <w:sz w:val="21"/>
                <w:szCs w:val="21"/>
              </w:rPr>
              <w:t xml:space="preserve">As part of delivering this contract, and at no net increase to the total price of this proposal, BLHSD is embedding three (3) additional staff at its Equity in Health and Special Concerns Section office for the full five-month contract term, together with an AI/productivity subscription for that office covering the same period.</w:t>
            </w:r>
          </w:p>
          <w:p>
            <w:pPr>
              <w:spacing w:after="100"/>
            </w:pPr>
            <w:r>
              <w:rPr>
                <w:sz w:val="21"/>
                <w:szCs w:val="21"/>
              </w:rPr>
              <w:t xml:space="preserve">These staff work on this contract's curriculum-development and content-governance activities (Outputs 1–3) and, in the capacity freed up by that support, carry forward BLHSD's parallel BHW Connect Phase 2 platform work — the national digital learning, training and certification system for which this same HHP+ curriculum is the designed Year-1 flagship module.</w:t>
            </w:r>
          </w:p>
          <w:p>
            <w:pPr>
              <w:spacing w:after="0"/>
            </w:pPr>
            <w:r>
              <w:rPr>
                <w:sz w:val="21"/>
                <w:szCs w:val="21"/>
              </w:rPr>
              <w:t xml:space="preserve">The practical effect: curriculum work funded under this contract is authored once, to a single standard, and is immediately reusable on the national platform rather than needing to be re-digitized later. Full itemization and cost of this inclusion appears in the Financial Proposal as its own labeled line, so it is transparent to evaluators rather than folded invisibly into other cost lines.</w:t>
            </w:r>
          </w:p>
        </w:tc>
      </w:tr>
    </w:tbl>
    <w:p>
      <w:pPr>
        <w:spacing w:after="120"/>
      </w:pPr>
      <w:r>
        <w:rPr>
          <w:b w:val="false"/>
          <w:bCs w:val="false"/>
          <w:i w:val="false"/>
          <w:iCs w:val="false"/>
          <w:sz w:val="22"/>
          <w:szCs w:val="22"/>
        </w:rPr>
        <w:t xml:space="preserve"/>
      </w:r>
    </w:p>
    <w:p>
      <w:pPr>
        <w:pStyle w:val="Heading2"/>
        <w:spacing w:after="120" w:before="240"/>
      </w:pPr>
      <w:r>
        <w:rPr>
          <w:color w:val="0E7C7B"/>
        </w:rPr>
        <w:t xml:space="preserve">A.3.4  Coordination mechanisms with WHO, DOH, LGUs and stakeholders</w:t>
      </w:r>
    </w:p>
    <w:p>
      <w:pPr>
        <w:spacing w:after="0"/>
      </w:pPr>
      <w:r>
        <w:rPr>
          <w:b w:val="false"/>
          <w:bCs w:val="false"/>
          <w:i w:val="false"/>
          <w:iCs w:val="false"/>
          <w:sz w:val="22"/>
          <w:szCs w:val="22"/>
        </w:rPr>
        <w:t xml:space="preserve">Steering-level coordination through existing WHO Philippines/DOH NCD Management touchpoints; technical-level coordination through a Technical Working Group including CHD Western Visayas and the LGUs of the covered districts; content-level coordination through the Content Review Panel described in A.2. Where BLHSD's own BHW Connect governance bodies already exist or are being stood up, this contract's technical review and validation activities are run through the same bodies rather than duplicate ones, subject to WHO's agreement.</w:t>
      </w:r>
    </w:p>
    <w:p>
      <w:pPr>
        <w:pStyle w:val="Heading1"/>
        <w:spacing w:after="160" w:before="320"/>
      </w:pPr>
      <w:r>
        <w:rPr>
          <w:color w:val="1F3864"/>
        </w:rPr>
        <w:t xml:space="preserve">A.4  Proposed Timeline</w:t>
      </w:r>
    </w:p>
    <w:p>
      <w:pPr>
        <w:spacing w:after="160"/>
      </w:pPr>
      <w:r>
        <w:rPr>
          <w:b w:val="false"/>
          <w:bCs w:val="false"/>
          <w:i/>
          <w:iCs/>
          <w:sz w:val="18"/>
          <w:szCs w:val="18"/>
        </w:rPr>
        <w:t xml:space="preserve">(RFP Section 5.10.4 — consistent with the 5-month duration in TOR Section 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b/>
                <w:bCs/>
                <w:color w:val="FFFFFF"/>
                <w:sz w:val="20"/>
                <w:szCs w:val="20"/>
              </w:rPr>
              <w:t xml:space="preserve">Month</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b/>
                <w:bCs/>
                <w:color w:val="FFFFFF"/>
                <w:sz w:val="20"/>
                <w:szCs w:val="20"/>
              </w:rPr>
              <w:t xml:space="preserve">Phase</w:t>
            </w:r>
          </w:p>
        </w:tc>
        <w:tc>
          <w:tcPr>
            <w:tcW w:type="dxa" w:w="61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b/>
                <w:bCs/>
                <w:color w:val="FFFFFF"/>
                <w:sz w:val="20"/>
                <w:szCs w:val="20"/>
              </w:rPr>
              <w:t xml:space="preserve">Key activities / deliverables</w:t>
            </w:r>
          </w:p>
        </w:tc>
      </w:tr>
      <w:tr>
        <w:tc>
          <w:tcPr>
            <w:tcW w:type="dxa" w:w="1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M1</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Inception</w:t>
            </w:r>
          </w:p>
        </w:tc>
        <w:tc>
          <w:tcPr>
            <w:tcW w:type="dxa" w:w="61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Deliverables 1.1–1.5: inception report, competency framework, materials review, stakeholder plan, workplan/Gantt chart</w:t>
            </w:r>
          </w:p>
        </w:tc>
      </w:tr>
      <w:tr>
        <w:tc>
          <w:tcPr>
            <w:tcW w:type="dxa" w:w="1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M2–M3</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Development</w:t>
            </w:r>
          </w:p>
        </w:tc>
        <w:tc>
          <w:tcPr>
            <w:tcW w:type="dxa" w:w="61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Deliverables 2.1–2.4: draft training package, instructional videos, assessment/supervision tools, consolidated package</w:t>
            </w:r>
          </w:p>
        </w:tc>
      </w:tr>
      <w:tr>
        <w:tc>
          <w:tcPr>
            <w:tcW w:type="dxa" w:w="1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M3–M4</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Validation</w:t>
            </w:r>
          </w:p>
        </w:tc>
        <w:tc>
          <w:tcPr>
            <w:tcW w:type="dxa" w:w="61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Deliverables 3.1–3.3: technical review meetings, validation workshops, revised/finalized package, technical endorsement</w:t>
            </w:r>
          </w:p>
        </w:tc>
      </w:tr>
      <w:tr>
        <w:tc>
          <w:tcPr>
            <w:tcW w:type="dxa" w:w="1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M4–M5</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Implementation</w:t>
            </w:r>
          </w:p>
        </w:tc>
        <w:tc>
          <w:tcPr>
            <w:tcW w:type="dxa" w:w="61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Deliverables 4.1–4.3: district-level training across all districts of Iloilo and one session in Guimaras; competency assessment; implementation report</w:t>
            </w:r>
          </w:p>
        </w:tc>
      </w:tr>
      <w:tr>
        <w:tc>
          <w:tcPr>
            <w:tcW w:type="dxa" w:w="1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M5</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Final reporting</w:t>
            </w:r>
          </w:p>
        </w:tc>
        <w:tc>
          <w:tcPr>
            <w:tcW w:type="dxa" w:w="61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sz w:val="20"/>
                <w:szCs w:val="20"/>
              </w:rPr>
              <w:t xml:space="preserve">Deliverables 5.1–5.3: final technical report, scale-up framework, final consolidated documentation package</w:t>
            </w:r>
          </w:p>
        </w:tc>
      </w:tr>
    </w:tbl>
    <w:p>
      <w:pPr>
        <w:spacing w:after="0"/>
      </w:pPr>
      <w:r>
        <w:rPr>
          <w:b w:val="false"/>
          <w:bCs w:val="false"/>
          <w:i w:val="false"/>
          <w:iCs w:val="false"/>
          <w:sz w:val="22"/>
          <w:szCs w:val="22"/>
        </w:rPr>
        <w:t xml:space="preserve">Monthly written progress updates to WHO Philippines throughout (TOR Section 5.6); formal reporting at completion of each Output.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Technical Proposal · RFP 2026_PHL-14_NCD-07_305898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2026-09-19T06:14:26.766Z</dcterms:created>
  <dcterms:modified xsi:type="dcterms:W3CDTF">2026-09-19T06:14:26.767Z</dcterms:modified>
</cp:coreProperties>
</file>

<file path=docProps/custom.xml><?xml version="1.0" encoding="utf-8"?>
<Properties xmlns="http://schemas.openxmlformats.org/officeDocument/2006/custom-properties" xmlns:vt="http://schemas.openxmlformats.org/officeDocument/2006/docPropsVTypes"/>
</file>