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0C7C7E"/>
          <w:sz w:val="34"/>
          <w:szCs w:val="34"/>
        </w:rPr>
        <w:t xml:space="preserve">BHW Connect Phase 2 — Year-1 Costing</w:t>
      </w:r>
    </w:p>
    <w:p>
      <w:pPr>
        <w:pBdr>
          <w:bottom w:val="single" w:color="0C7C7E" w:sz="8" w:space="6"/>
        </w:pBdr>
        <w:spacing w:after="150"/>
      </w:pPr>
      <w:r>
        <w:rPr>
          <w:rFonts w:ascii="Calibri" w:cs="Calibri" w:eastAsia="Calibri" w:hAnsi="Calibri"/>
          <w:color w:val="6A5D53"/>
          <w:sz w:val="22"/>
          <w:szCs w:val="22"/>
        </w:rPr>
        <w:t xml:space="preserve">What WHO is asked to fund, and what DOH delivers in return</w:t>
      </w:r>
    </w:p>
    <w:p>
      <w:pPr>
        <w:spacing w:after="36" w:line="228"/>
      </w:pPr>
      <w:r>
        <w:rPr>
          <w:rFonts w:ascii="Calibri" w:cs="Calibri" w:eastAsia="Calibri" w:hAnsi="Calibri"/>
          <w:b/>
          <w:bCs/>
          <w:color w:val="0C7C7E"/>
          <w:sz w:val="17"/>
          <w:szCs w:val="17"/>
        </w:rPr>
        <w:t xml:space="preserve">Submitted by   </w:t>
      </w:r>
      <w:r>
        <w:rPr>
          <w:rFonts w:ascii="Calibri" w:cs="Calibri" w:eastAsia="Calibri" w:hAnsi="Calibri"/>
          <w:color w:val="241C17"/>
          <w:sz w:val="17"/>
          <w:szCs w:val="17"/>
        </w:rPr>
        <w:t xml:space="preserve">Department of Health, Bureau of Local Health Systems Development — Equity in Health and Special Concerns Section</w:t>
      </w:r>
    </w:p>
    <w:p>
      <w:pPr>
        <w:spacing w:after="36" w:line="228"/>
      </w:pPr>
      <w:r>
        <w:rPr>
          <w:rFonts w:ascii="Calibri" w:cs="Calibri" w:eastAsia="Calibri" w:hAnsi="Calibri"/>
          <w:b/>
          <w:bCs/>
          <w:color w:val="0C7C7E"/>
          <w:sz w:val="17"/>
          <w:szCs w:val="17"/>
        </w:rPr>
        <w:t xml:space="preserve">Submitted to   </w:t>
      </w:r>
      <w:r>
        <w:rPr>
          <w:rFonts w:ascii="Calibri" w:cs="Calibri" w:eastAsia="Calibri" w:hAnsi="Calibri"/>
          <w:color w:val="241C17"/>
          <w:sz w:val="17"/>
          <w:szCs w:val="17"/>
        </w:rPr>
        <w:t xml:space="preserve">World Health Organization, Country Office for the Philippines</w:t>
      </w:r>
    </w:p>
    <w:p>
      <w:pPr>
        <w:spacing w:after="36" w:line="228"/>
      </w:pPr>
      <w:r>
        <w:rPr>
          <w:rFonts w:ascii="Calibri" w:cs="Calibri" w:eastAsia="Calibri" w:hAnsi="Calibri"/>
          <w:b/>
          <w:bCs/>
          <w:color w:val="0C7C7E"/>
          <w:sz w:val="17"/>
          <w:szCs w:val="17"/>
        </w:rPr>
        <w:t xml:space="preserve">Period   </w:t>
      </w:r>
      <w:r>
        <w:rPr>
          <w:rFonts w:ascii="Calibri" w:cs="Calibri" w:eastAsia="Calibri" w:hAnsi="Calibri"/>
          <w:color w:val="241C17"/>
          <w:sz w:val="17"/>
          <w:szCs w:val="17"/>
        </w:rPr>
        <w:t xml:space="preserve">12 months</w:t>
      </w:r>
    </w:p>
    <w:p>
      <w:pPr>
        <w:spacing w:after="36" w:line="228"/>
      </w:pPr>
      <w:r>
        <w:rPr>
          <w:rFonts w:ascii="Calibri" w:cs="Calibri" w:eastAsia="Calibri" w:hAnsi="Calibri"/>
          <w:b/>
          <w:bCs/>
          <w:color w:val="0C7C7E"/>
          <w:sz w:val="17"/>
          <w:szCs w:val="17"/>
        </w:rPr>
        <w:t xml:space="preserve">Total   </w:t>
      </w:r>
      <w:r>
        <w:rPr>
          <w:rFonts w:ascii="Calibri" w:cs="Calibri" w:eastAsia="Calibri" w:hAnsi="Calibri"/>
          <w:b/>
          <w:bCs/>
          <w:color w:val="241C17"/>
          <w:sz w:val="17"/>
          <w:szCs w:val="17"/>
        </w:rPr>
        <w:t xml:space="preserve">PHP 3,553,400  ≈  US$61,265 at PHP 58/US$</w:t>
      </w:r>
    </w:p>
    <w:p>
      <w:pPr>
        <w:spacing w:after="36" w:line="228"/>
      </w:pPr>
      <w:r>
        <w:rPr>
          <w:rFonts w:ascii="Calibri" w:cs="Calibri" w:eastAsia="Calibri" w:hAnsi="Calibri"/>
          <w:b/>
          <w:bCs/>
          <w:color w:val="0C7C7E"/>
          <w:sz w:val="17"/>
          <w:szCs w:val="17"/>
        </w:rPr>
        <w:t xml:space="preserve">Date · version · contact   </w:t>
      </w:r>
      <w:r>
        <w:rPr>
          <w:rFonts w:ascii="Calibri" w:cs="Calibri" w:eastAsia="Calibri" w:hAnsi="Calibri"/>
          <w:color w:val="241C17"/>
          <w:sz w:val="17"/>
          <w:szCs w:val="17"/>
        </w:rPr>
        <w:t xml:space="preserve">[TO CONFIRM]</w:t>
      </w:r>
    </w:p>
    <w:p>
      <w:pPr>
        <w:spacing w:after="110"/>
      </w:pPr>
    </w:p>
    <w:p>
      <w:pPr>
        <w:pStyle w:val="Heading1"/>
        <w:spacing w:after="110" w:before="240"/>
      </w:pPr>
      <w:r>
        <w:rPr>
          <w:rFonts w:ascii="Calibri" w:cs="Calibri" w:eastAsia="Calibri" w:hAnsi="Calibri"/>
          <w:b/>
          <w:bCs/>
          <w:color w:val="0C7C7E"/>
          <w:sz w:val="28"/>
          <w:szCs w:val="28"/>
        </w:rPr>
        <w:t xml:space="preserve">1.  Purpose</w:t>
      </w:r>
    </w:p>
    <w:p>
      <w:pPr>
        <w:spacing w:after="100" w:before="0" w:line="250"/>
      </w:pPr>
      <w:r>
        <w:rPr>
          <w:rFonts w:ascii="Calibri" w:cs="Calibri" w:eastAsia="Calibri" w:hAnsi="Calibri"/>
          <w:color w:val="241C17"/>
          <w:sz w:val="19"/>
          <w:szCs w:val="19"/>
        </w:rPr>
        <w:t xml:space="preserve">This document costs three things: </w:t>
      </w:r>
      <w:r>
        <w:rPr>
          <w:rFonts w:ascii="Calibri" w:cs="Calibri" w:eastAsia="Calibri" w:hAnsi="Calibri"/>
          <w:b/>
          <w:bCs/>
          <w:color w:val="241C17"/>
          <w:sz w:val="19"/>
          <w:szCs w:val="19"/>
        </w:rPr>
        <w:t xml:space="preserve">the small team that builds the DOH information system, the AI tooling it uses to build the Knowledge Base, and hosting for the twelve months it takes to get there.</w:t>
      </w:r>
      <w:r>
        <w:rPr>
          <w:rFonts w:ascii="Calibri" w:cs="Calibri" w:eastAsia="Calibri" w:hAnsi="Calibri"/>
          <w:color w:val="241C17"/>
          <w:sz w:val="19"/>
          <w:szCs w:val="19"/>
        </w:rPr>
        <w:t xml:space="preserve"> That is the entire cash ask.</w:t>
      </w:r>
    </w:p>
    <w:p>
      <w:pPr>
        <w:spacing w:after="100" w:before="0" w:line="250"/>
      </w:pPr>
      <w:r>
        <w:rPr>
          <w:rFonts w:ascii="Calibri" w:cs="Calibri" w:eastAsia="Calibri" w:hAnsi="Calibri"/>
          <w:color w:val="241C17"/>
          <w:sz w:val="19"/>
          <w:szCs w:val="19"/>
        </w:rPr>
        <w:t xml:space="preserve">It is deliberately narrow, and it is deliberately finite. Everything else this programme needs is already assigned — either to DOH, which owns and delivers the information system itself, or to WHO and its Agreement for Performance of Work, under DOH guidance and approval. And the one recurring cost in it, hosting, </w:t>
      </w:r>
      <w:r>
        <w:rPr>
          <w:rFonts w:ascii="Calibri" w:cs="Calibri" w:eastAsia="Calibri" w:hAnsi="Calibri"/>
          <w:b/>
          <w:bCs/>
          <w:color w:val="241C17"/>
          <w:sz w:val="19"/>
          <w:szCs w:val="19"/>
        </w:rPr>
        <w:t xml:space="preserve">ends inside the engagement</w:t>
      </w:r>
      <w:r>
        <w:rPr>
          <w:rFonts w:ascii="Calibri" w:cs="Calibri" w:eastAsia="Calibri" w:hAnsi="Calibri"/>
          <w:color w:val="241C17"/>
          <w:sz w:val="19"/>
          <w:szCs w:val="19"/>
        </w:rPr>
        <w:t xml:space="preserve">: the platform migrates onto DOH-owned infrastructure before closeout, so WHO acquires no continuing obligation. Section 6 states that commitment in full.</w:t>
      </w:r>
    </w:p>
    <w:p>
      <w:pPr>
        <w:pStyle w:val="Heading1"/>
        <w:spacing w:after="110" w:before="240"/>
      </w:pPr>
      <w:r>
        <w:rPr>
          <w:rFonts w:ascii="Calibri" w:cs="Calibri" w:eastAsia="Calibri" w:hAnsi="Calibri"/>
          <w:b/>
          <w:bCs/>
          <w:color w:val="0C7C7E"/>
          <w:sz w:val="28"/>
          <w:szCs w:val="28"/>
        </w:rPr>
        <w:t xml:space="preserve">2.  The exchange</w:t>
      </w:r>
    </w:p>
    <w:tbl>
      <w:tblPr>
        <w:tblW w:type="dxa" w:w="10080"/>
        <w:tblBorders>
          <w:top w:val="single" w:color="C9BFB2" w:sz="2"/>
          <w:left w:val="single" w:color="C9BFB2" w:sz="2"/>
          <w:bottom w:val="single" w:color="C9BFB2" w:sz="2"/>
          <w:right w:val="single" w:color="C9BFB2" w:sz="2"/>
          <w:insideH w:val="single" w:color="C9BFB2" w:sz="2"/>
          <w:insideV w:val="single" w:color="C9BFB2" w:sz="2"/>
        </w:tblBorders>
      </w:tblPr>
      <w:tblGrid>
        <w:gridCol w:w="5040"/>
        <w:gridCol w:w="5040"/>
      </w:tblGrid>
      <w:tr>
        <w:tc>
          <w:tcPr>
            <w:tcW w:type="dxa" w:w="504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WHO is asked to provide</w:t>
            </w:r>
          </w:p>
        </w:tc>
        <w:tc>
          <w:tcPr>
            <w:tcW w:type="dxa" w:w="504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DOH delivers, and owns</w:t>
            </w:r>
          </w:p>
        </w:tc>
      </w:tr>
      <w:tr>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Three full-time personnel for 12 months — a software developer, a quality assurance analyst, and a Knowledge Base content and training coordinator — engaged for and embedded in DOH, reporting to BLHSD</w:t>
            </w:r>
          </w:p>
        </w:tc>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The national standard. A BHW competency and certification framework: competency domains, assessment rubrics, pass marks and re-certification triggers</w:t>
            </w:r>
          </w:p>
        </w:tc>
      </w:tr>
      <w:tr>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AI tooling for building the Knowledge Base — two authoring seats and a bounded API allowance</w:t>
            </w:r>
          </w:p>
        </w:tc>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The policy issuance that makes the standard mandatory for all BHW training, whoever funds or delivers it</w:t>
            </w:r>
          </w:p>
        </w:tc>
      </w:tr>
      <w:tr>
        <w:tc>
          <w:tcPr>
            <w:tcW w:type="dxa" w:w="5040"/>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Hosting and infrastructure for twelve months only, up to the transfer onto government infrastructure</w:t>
            </w:r>
          </w:p>
        </w:tc>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The governance body — DOH convenes and organizes the Steering Committee, Technical Working Group and Content Review Panel, and chairs them</w:t>
            </w:r>
          </w:p>
        </w:tc>
      </w:tr>
      <w:tr>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Technical review and validation of the digitized curriculum; normative positioning; participation in governance</w:t>
            </w:r>
          </w:p>
        </w:tc>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The platform — built, provisioned, governed and owned by DOH, together with its source code, its data and every published word</w:t>
            </w:r>
          </w:p>
        </w:tc>
      </w:tr>
      <w:tr>
        <w:tc>
          <w:tcPr>
            <w:tcW w:type="dxa" w:w="504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Narrative and financial reporting requirements</w:t>
            </w:r>
          </w:p>
        </w:tc>
        <w:tc>
          <w:tcPr>
            <w:tcW w:type="dxa" w:w="5040"/>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The destination infrastructure — DOH-owned hosting, the hosting agreement with DOH KMITS that the platform migrates onto before closeout, and the budget line that sustains it afterwards</w:t>
            </w:r>
          </w:p>
        </w:tc>
      </w:tr>
    </w:tbl>
    <w:p>
      <w:pPr>
        <w:spacing w:after="70"/>
      </w:pPr>
    </w:p>
    <w:p>
      <w:pPr>
        <w:spacing w:after="100" w:before="0" w:line="250"/>
      </w:pPr>
      <w:r>
        <w:rPr>
          <w:rFonts w:ascii="Calibri" w:cs="Calibri" w:eastAsia="Calibri" w:hAnsi="Calibri"/>
          <w:color w:val="241C17"/>
          <w:sz w:val="19"/>
          <w:szCs w:val="19"/>
        </w:rPr>
        <w:t xml:space="preserve">The asymmetry is intentional. WHO is asked to finance people and a runway; DOH is committing to deliver institutions, policy, an asset it will still own after the engagement closes — and the infrastructure that asset lands on.</w:t>
      </w:r>
    </w:p>
    <w:p>
      <w:pPr>
        <w:pStyle w:val="Heading1"/>
        <w:spacing w:after="110" w:before="240"/>
      </w:pPr>
      <w:r>
        <w:rPr>
          <w:rFonts w:ascii="Calibri" w:cs="Calibri" w:eastAsia="Calibri" w:hAnsi="Calibri"/>
          <w:b/>
          <w:bCs/>
          <w:color w:val="0C7C7E"/>
          <w:sz w:val="28"/>
          <w:szCs w:val="28"/>
        </w:rPr>
        <w:t xml:space="preserve">3.  What this costing covers — and what it does not</w:t>
      </w:r>
    </w:p>
    <w:tbl>
      <w:tblPr>
        <w:tblW w:type="dxa" w:w="10080"/>
        <w:tblBorders>
          <w:top w:val="single" w:color="C9BFB2" w:sz="2"/>
          <w:left w:val="single" w:color="C9BFB2" w:sz="2"/>
          <w:bottom w:val="single" w:color="C9BFB2" w:sz="2"/>
          <w:right w:val="single" w:color="C9BFB2" w:sz="2"/>
          <w:insideH w:val="single" w:color="C9BFB2" w:sz="2"/>
          <w:insideV w:val="single" w:color="C9BFB2" w:sz="2"/>
        </w:tblBorders>
      </w:tblPr>
      <w:tblGrid>
        <w:gridCol w:w="5900"/>
        <w:gridCol w:w="2380"/>
        <w:gridCol w:w="1800"/>
      </w:tblGrid>
      <w:tr>
        <w:tc>
          <w:tcPr>
            <w:tcW w:type="dxa" w:w="590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
            </w:r>
          </w:p>
        </w:tc>
        <w:tc>
          <w:tcPr>
            <w:tcW w:type="dxa" w:w="238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Responsible</w:t>
            </w:r>
          </w:p>
        </w:tc>
        <w:tc>
          <w:tcPr>
            <w:tcW w:type="dxa" w:w="180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Costed here?</w:t>
            </w:r>
          </w:p>
        </w:tc>
      </w:tr>
      <w:tr>
        <w:tc>
          <w:tcPr>
            <w:tcW w:type="dxa" w:w="5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The three personnel, their AI tooling, and hosting for the 12-month cycle</w:t>
            </w:r>
          </w:p>
        </w:tc>
        <w:tc>
          <w:tcPr>
            <w:tcW w:type="dxa" w:w="2380"/>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WHO — cash</w:t>
            </w:r>
          </w:p>
        </w:tc>
        <w:tc>
          <w:tcPr>
            <w:tcW w:type="dxa" w:w="1800"/>
            <w:shd w:fill="F1ECE4" w:color="auto" w:val="clear"/>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Yes — Section 5</w:t>
            </w:r>
          </w:p>
        </w:tc>
      </w:tr>
      <w:tr>
        <w:tc>
          <w:tcPr>
            <w:tcW w:type="dxa" w:w="5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The information system: the standard, the issuance, the governance body, the platform, content approval, data governance and Data Privacy Act compliance — and the DOH infrastructure the platform transfers onto, and all hosting from that point forward</w:t>
            </w:r>
          </w:p>
        </w:tc>
        <w:tc>
          <w:tcPr>
            <w:tcW w:type="dxa" w:w="2380"/>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DOH / BLHSD</w:t>
            </w:r>
          </w:p>
        </w:tc>
        <w:tc>
          <w:tcPr>
            <w:tcW w:type="dxa" w:w="18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No — DOH’s to deliver</w:t>
            </w:r>
          </w:p>
        </w:tc>
      </w:tr>
      <w:tr>
        <w:tc>
          <w:tcPr>
            <w:tcW w:type="dxa" w:w="5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Training delivery, region-wide rollout and onboarding, IT equipment, video and bilingual production, independent monitoring and evaluation, travel and per diem</w:t>
            </w:r>
          </w:p>
        </w:tc>
        <w:tc>
          <w:tcPr>
            <w:tcW w:type="dxa" w:w="2380"/>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WHO and its APW, with DOH guidance and approval</w:t>
            </w:r>
          </w:p>
        </w:tc>
        <w:tc>
          <w:tcPr>
            <w:tcW w:type="dxa" w:w="18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No — arranged separately by WHO</w:t>
            </w:r>
          </w:p>
        </w:tc>
      </w:tr>
    </w:tbl>
    <w:p>
      <w:pPr>
        <w:spacing w:after="70"/>
      </w:pPr>
    </w:p>
    <w:p>
      <w:pPr>
        <w:spacing w:after="100" w:before="0" w:line="250"/>
      </w:pPr>
      <w:r>
        <w:rPr>
          <w:rFonts w:ascii="Calibri" w:cs="Calibri" w:eastAsia="Calibri" w:hAnsi="Calibri"/>
          <w:color w:val="241C17"/>
          <w:sz w:val="19"/>
          <w:szCs w:val="19"/>
        </w:rPr>
        <w:t xml:space="preserve">Nothing in the third row is being declined or deferred. It sits with WHO’s existing implementing arrangements rather than in this instrument, and DOH guides and approves it.</w:t>
      </w:r>
    </w:p>
    <w:p>
      <w:pPr>
        <w:pStyle w:val="Heading1"/>
        <w:spacing w:after="110" w:before="240"/>
      </w:pPr>
      <w:r>
        <w:rPr>
          <w:rFonts w:ascii="Calibri" w:cs="Calibri" w:eastAsia="Calibri" w:hAnsi="Calibri"/>
          <w:b/>
          <w:bCs/>
          <w:color w:val="0C7C7E"/>
          <w:sz w:val="28"/>
          <w:szCs w:val="28"/>
        </w:rPr>
        <w:t xml:space="preserve">4.  What BLHSD brings</w:t>
      </w:r>
    </w:p>
    <w:p>
      <w:pPr>
        <w:spacing w:after="100" w:before="0" w:line="250"/>
      </w:pPr>
      <w:r>
        <w:rPr>
          <w:rFonts w:ascii="Calibri" w:cs="Calibri" w:eastAsia="Calibri" w:hAnsi="Calibri"/>
          <w:color w:val="241C17"/>
          <w:sz w:val="19"/>
          <w:szCs w:val="19"/>
        </w:rPr>
        <w:t xml:space="preserve">This is a shared investment, and the government contribution is already substantial — most of it spent before WHO is asked for anything.</w:t>
      </w:r>
    </w:p>
    <w:p>
      <w:pPr>
        <w:pStyle w:val="ListParagraph"/>
        <w:numPr>
          <w:ilvl w:val="0"/>
          <w:numId w:val="2"/>
        </w:numPr>
        <w:spacing w:after="60" w:line="245"/>
      </w:pPr>
      <w:r>
        <w:rPr>
          <w:rFonts w:ascii="Calibri" w:cs="Calibri" w:eastAsia="Calibri" w:hAnsi="Calibri"/>
          <w:b/>
          <w:bCs/>
          <w:color w:val="241C17"/>
          <w:sz w:val="18"/>
          <w:szCs w:val="18"/>
        </w:rPr>
        <w:t xml:space="preserve">The delivered Phase 1 national registry</w:t>
      </w:r>
      <w:r>
        <w:rPr>
          <w:rFonts w:ascii="Calibri" w:cs="Calibri" w:eastAsia="Calibri" w:hAnsi="Calibri"/>
          <w:b w:val="false"/>
          <w:bCs w:val="false"/>
          <w:color w:val="241C17"/>
          <w:sz w:val="18"/>
          <w:szCs w:val="18"/>
        </w:rPr>
        <w:t xml:space="preserve"> and its nearly 300,000 profiled Barangay Health Worker records — the first complete national record of this workforce in roughly three decades, and the only place a competency standard can actually be written.</w:t>
      </w:r>
    </w:p>
    <w:p>
      <w:pPr>
        <w:pStyle w:val="ListParagraph"/>
        <w:numPr>
          <w:ilvl w:val="0"/>
          <w:numId w:val="2"/>
        </w:numPr>
        <w:spacing w:after="60" w:line="245"/>
      </w:pPr>
      <w:r>
        <w:rPr>
          <w:rFonts w:ascii="Calibri" w:cs="Calibri" w:eastAsia="Calibri" w:hAnsi="Calibri"/>
          <w:b/>
          <w:bCs/>
          <w:color w:val="241C17"/>
          <w:sz w:val="18"/>
          <w:szCs w:val="18"/>
        </w:rPr>
        <w:t xml:space="preserve">The complete Phase 2 design and architecture — requirements, data model, system architecture, user journeys, content governance and approval workflow, accessibility and data-privacy approach — funded by BLHSD at its own cost.</w:t>
      </w:r>
      <w:r>
        <w:rPr>
          <w:rFonts w:ascii="Calibri" w:cs="Calibri" w:eastAsia="Calibri" w:hAnsi="Calibri"/>
          <w:b w:val="false"/>
          <w:bCs w:val="false"/>
          <w:color w:val="241C17"/>
          <w:sz w:val="18"/>
          <w:szCs w:val="18"/>
        </w:rPr>
        <w:t xml:space="preserve"> The engagement does not begin with discovery; it begins with construction against a settled design.</w:t>
      </w:r>
    </w:p>
    <w:p>
      <w:pPr>
        <w:pStyle w:val="ListParagraph"/>
        <w:numPr>
          <w:ilvl w:val="0"/>
          <w:numId w:val="2"/>
        </w:numPr>
        <w:spacing w:after="60" w:line="245"/>
      </w:pPr>
      <w:r>
        <w:rPr>
          <w:rFonts w:ascii="Calibri" w:cs="Calibri" w:eastAsia="Calibri" w:hAnsi="Calibri"/>
          <w:b/>
          <w:bCs/>
          <w:color w:val="241C17"/>
          <w:sz w:val="18"/>
          <w:szCs w:val="18"/>
        </w:rPr>
        <w:t xml:space="preserve">Government infrastructure to receive the platform</w:t>
      </w:r>
      <w:r>
        <w:rPr>
          <w:rFonts w:ascii="Calibri" w:cs="Calibri" w:eastAsia="Calibri" w:hAnsi="Calibri"/>
          <w:b w:val="false"/>
          <w:bCs w:val="false"/>
          <w:color w:val="241C17"/>
          <w:sz w:val="18"/>
          <w:szCs w:val="18"/>
        </w:rPr>
        <w:t xml:space="preserve">, and the hosting agreement with DOH KMITS that makes the transfer in Section 6 possible — together with the hosting budget from that point onward, in perpetuity.</w:t>
      </w:r>
    </w:p>
    <w:p>
      <w:pPr>
        <w:pStyle w:val="ListParagraph"/>
        <w:numPr>
          <w:ilvl w:val="0"/>
          <w:numId w:val="2"/>
        </w:numPr>
        <w:spacing w:after="60" w:line="245"/>
      </w:pPr>
      <w:r>
        <w:rPr>
          <w:rFonts w:ascii="Calibri" w:cs="Calibri" w:eastAsia="Calibri" w:hAnsi="Calibri"/>
          <w:b/>
          <w:bCs/>
          <w:color w:val="241C17"/>
          <w:sz w:val="18"/>
          <w:szCs w:val="18"/>
        </w:rPr>
        <w:t xml:space="preserve">Supervision of the funded team</w:t>
      </w:r>
      <w:r>
        <w:rPr>
          <w:rFonts w:ascii="Calibri" w:cs="Calibri" w:eastAsia="Calibri" w:hAnsi="Calibri"/>
          <w:b w:val="false"/>
          <w:bCs w:val="false"/>
          <w:color w:val="241C17"/>
          <w:sz w:val="18"/>
          <w:szCs w:val="18"/>
        </w:rPr>
        <w:t xml:space="preserve">, and the BLHSD administrators and content owners who work alongside them.</w:t>
      </w:r>
    </w:p>
    <w:p>
      <w:pPr>
        <w:pStyle w:val="ListParagraph"/>
        <w:numPr>
          <w:ilvl w:val="0"/>
          <w:numId w:val="2"/>
        </w:numPr>
        <w:spacing w:after="60" w:line="245"/>
      </w:pPr>
      <w:r>
        <w:rPr>
          <w:rFonts w:ascii="Calibri" w:cs="Calibri" w:eastAsia="Calibri" w:hAnsi="Calibri"/>
          <w:b/>
          <w:bCs/>
          <w:color w:val="241C17"/>
          <w:sz w:val="18"/>
          <w:szCs w:val="18"/>
        </w:rPr>
        <w:t xml:space="preserve">Chairmanship of the governance bodies</w:t>
      </w:r>
      <w:r>
        <w:rPr>
          <w:rFonts w:ascii="Calibri" w:cs="Calibri" w:eastAsia="Calibri" w:hAnsi="Calibri"/>
          <w:b w:val="false"/>
          <w:bCs w:val="false"/>
          <w:color w:val="241C17"/>
          <w:sz w:val="18"/>
          <w:szCs w:val="18"/>
        </w:rPr>
        <w:t xml:space="preserve">, execution of the Memorandum of Agreement, and the policy instruments themselves.</w:t>
      </w:r>
    </w:p>
    <w:p>
      <w:pPr>
        <w:pStyle w:val="ListParagraph"/>
        <w:numPr>
          <w:ilvl w:val="0"/>
          <w:numId w:val="2"/>
        </w:numPr>
        <w:spacing w:after="60" w:line="245"/>
      </w:pPr>
      <w:r>
        <w:rPr>
          <w:rFonts w:ascii="Calibri" w:cs="Calibri" w:eastAsia="Calibri" w:hAnsi="Calibri"/>
          <w:b/>
          <w:bCs/>
          <w:color w:val="241C17"/>
          <w:sz w:val="18"/>
          <w:szCs w:val="18"/>
        </w:rPr>
        <w:t xml:space="preserve">Content approval authority</w:t>
      </w:r>
      <w:r>
        <w:rPr>
          <w:rFonts w:ascii="Calibri" w:cs="Calibri" w:eastAsia="Calibri" w:hAnsi="Calibri"/>
          <w:b w:val="false"/>
          <w:bCs w:val="false"/>
          <w:color w:val="241C17"/>
          <w:sz w:val="18"/>
          <w:szCs w:val="18"/>
        </w:rPr>
        <w:t xml:space="preserve"> — every learning item routes through the Content Review Panel and DOH approval before publication.</w:t>
      </w:r>
    </w:p>
    <w:p>
      <w:pPr>
        <w:pStyle w:val="ListParagraph"/>
        <w:numPr>
          <w:ilvl w:val="0"/>
          <w:numId w:val="2"/>
        </w:numPr>
        <w:spacing w:after="60" w:line="245"/>
      </w:pPr>
      <w:r>
        <w:rPr>
          <w:rFonts w:ascii="Calibri" w:cs="Calibri" w:eastAsia="Calibri" w:hAnsi="Calibri"/>
          <w:b/>
          <w:bCs/>
          <w:color w:val="241C17"/>
          <w:sz w:val="18"/>
          <w:szCs w:val="18"/>
        </w:rPr>
        <w:t xml:space="preserve">Data governance and Data Privacy Act compliance</w:t>
      </w:r>
      <w:r>
        <w:rPr>
          <w:rFonts w:ascii="Calibri" w:cs="Calibri" w:eastAsia="Calibri" w:hAnsi="Calibri"/>
          <w:b w:val="false"/>
          <w:bCs w:val="false"/>
          <w:color w:val="241C17"/>
          <w:sz w:val="18"/>
          <w:szCs w:val="18"/>
        </w:rPr>
        <w:t xml:space="preserve">, and digital-health standards alignment.</w:t>
      </w:r>
    </w:p>
    <w:p>
      <w:pPr>
        <w:pStyle w:val="ListParagraph"/>
        <w:numPr>
          <w:ilvl w:val="0"/>
          <w:numId w:val="2"/>
        </w:numPr>
        <w:spacing w:after="60" w:line="245"/>
      </w:pPr>
      <w:r>
        <w:rPr>
          <w:rFonts w:ascii="Calibri" w:cs="Calibri" w:eastAsia="Calibri" w:hAnsi="Calibri"/>
          <w:b/>
          <w:bCs/>
          <w:color w:val="241C17"/>
          <w:sz w:val="18"/>
          <w:szCs w:val="18"/>
        </w:rPr>
        <w:t xml:space="preserve">Field structures</w:t>
      </w:r>
      <w:r>
        <w:rPr>
          <w:rFonts w:ascii="Calibri" w:cs="Calibri" w:eastAsia="Calibri" w:hAnsi="Calibri"/>
          <w:b w:val="false"/>
          <w:bCs w:val="false"/>
          <w:color w:val="241C17"/>
          <w:sz w:val="18"/>
          <w:szCs w:val="18"/>
        </w:rPr>
        <w:t xml:space="preserve"> through the Centers for Health Development and LGUs, and assessors for skills demonstrations.</w:t>
      </w:r>
    </w:p>
    <w:p>
      <w:pPr>
        <w:pStyle w:val="ListParagraph"/>
        <w:numPr>
          <w:ilvl w:val="0"/>
          <w:numId w:val="2"/>
        </w:numPr>
        <w:spacing w:after="60" w:line="245"/>
      </w:pPr>
      <w:r>
        <w:rPr>
          <w:rFonts w:ascii="Calibri" w:cs="Calibri" w:eastAsia="Calibri" w:hAnsi="Calibri"/>
          <w:b/>
          <w:bCs/>
          <w:color w:val="241C17"/>
          <w:sz w:val="18"/>
          <w:szCs w:val="18"/>
        </w:rPr>
        <w:t xml:space="preserve">Office space and utilities</w:t>
      </w:r>
      <w:r>
        <w:rPr>
          <w:rFonts w:ascii="Calibri" w:cs="Calibri" w:eastAsia="Calibri" w:hAnsi="Calibri"/>
          <w:b w:val="false"/>
          <w:bCs w:val="false"/>
          <w:color w:val="241C17"/>
          <w:sz w:val="18"/>
          <w:szCs w:val="18"/>
        </w:rPr>
        <w:t xml:space="preserve">, and maintenance and staffing from closeout onward.</w:t>
      </w:r>
    </w:p>
    <w:p>
      <w:pPr>
        <w:pStyle w:val="Heading1"/>
        <w:spacing w:after="110" w:before="240"/>
      </w:pPr>
      <w:r>
        <w:rPr>
          <w:rFonts w:ascii="Calibri" w:cs="Calibri" w:eastAsia="Calibri" w:hAnsi="Calibri"/>
          <w:b/>
          <w:bCs/>
          <w:color w:val="0C7C7E"/>
          <w:sz w:val="28"/>
          <w:szCs w:val="28"/>
        </w:rPr>
        <w:t xml:space="preserve">5.  Year-1 costing</w:t>
      </w:r>
    </w:p>
    <w:p>
      <w:pPr>
        <w:pStyle w:val="Heading2"/>
        <w:spacing w:after="80" w:before="180"/>
      </w:pPr>
      <w:r>
        <w:rPr>
          <w:rFonts w:ascii="Calibri" w:cs="Calibri" w:eastAsia="Calibri" w:hAnsi="Calibri"/>
          <w:b/>
          <w:bCs/>
          <w:color w:val="0C7C7E"/>
          <w:sz w:val="20"/>
          <w:szCs w:val="20"/>
        </w:rPr>
        <w:t xml:space="preserve">5.1  Personnel — 12 months, full-time, reporting to BLHSD</w:t>
      </w:r>
    </w:p>
    <w:tbl>
      <w:tblPr>
        <w:tblW w:type="dxa" w:w="10080"/>
        <w:tblBorders>
          <w:top w:val="single" w:color="C9BFB2" w:sz="2"/>
          <w:left w:val="single" w:color="C9BFB2" w:sz="2"/>
          <w:bottom w:val="single" w:color="C9BFB2" w:sz="2"/>
          <w:right w:val="single" w:color="C9BFB2" w:sz="2"/>
          <w:insideH w:val="single" w:color="C9BFB2" w:sz="2"/>
          <w:insideV w:val="single" w:color="C9BFB2" w:sz="2"/>
        </w:tblBorders>
      </w:tblPr>
      <w:tblGrid>
        <w:gridCol w:w="6580"/>
        <w:gridCol w:w="1900"/>
        <w:gridCol w:w="1600"/>
      </w:tblGrid>
      <w:tr>
        <w:tc>
          <w:tcPr>
            <w:tcW w:type="dxa" w:w="658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Position</w:t>
            </w:r>
          </w:p>
        </w:tc>
        <w:tc>
          <w:tcPr>
            <w:tcW w:type="dxa" w:w="190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Basis</w:t>
            </w:r>
          </w:p>
        </w:tc>
        <w:tc>
          <w:tcPr>
            <w:tcW w:type="dxa" w:w="160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7"/>
                <w:szCs w:val="17"/>
              </w:rPr>
              <w:t xml:space="preserve">Amount (PHP)</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Software Developer (senior full-stack) — builds the platform to the completed design; hardening and provisioning</w:t>
            </w:r>
          </w:p>
        </w:tc>
        <w:tc>
          <w:tcPr>
            <w:tcW w:type="dxa" w:w="1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PHP 100,000/mo × 12</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1,200,000</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Quality Assurance Analyst — test and release QA, accessibility, regression and acceptance against the standard</w:t>
            </w:r>
          </w:p>
        </w:tc>
        <w:tc>
          <w:tcPr>
            <w:tcW w:type="dxa" w:w="1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PHP 65,000/mo × 12</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780,000</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Knowledge Base Content &amp; Training Coordinator — authors the bilingual Knowledge Base and course content; routes it through validation and DOH approval</w:t>
            </w:r>
          </w:p>
        </w:tc>
        <w:tc>
          <w:tcPr>
            <w:tcW w:type="dxa" w:w="1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PHP 65,000/mo × 12</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780,000</w:t>
            </w:r>
          </w:p>
        </w:tc>
      </w:tr>
      <w:tr>
        <w:tc>
          <w:tcPr>
            <w:tcW w:type="dxa" w:w="6580"/>
            <w:shd w:fill="F1ECE4" w:color="auto" w:val="clear"/>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Subtotal — personnel</w:t>
            </w:r>
          </w:p>
        </w:tc>
        <w:tc>
          <w:tcPr>
            <w:tcW w:type="dxa" w:w="1900"/>
            <w:shd w:fill="F1ECE4" w:color="auto" w:val="clear"/>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
            </w:r>
          </w:p>
        </w:tc>
        <w:tc>
          <w:tcPr>
            <w:tcW w:type="dxa" w:w="1600"/>
            <w:shd w:fill="F1ECE4" w:color="auto" w:val="clear"/>
            <w:tcMar>
              <w:top w:type="dxa" w:w="64"/>
              <w:left w:type="dxa" w:w="108"/>
              <w:bottom w:type="dxa" w:w="64"/>
              <w:right w:type="dxa" w:w="108"/>
            </w:tcMar>
          </w:tcPr>
          <w:p>
            <w:pPr>
              <w:spacing w:after="0" w:line="235"/>
              <w:jc w:val="right"/>
            </w:pPr>
            <w:r>
              <w:rPr>
                <w:rFonts w:ascii="Calibri" w:cs="Calibri" w:eastAsia="Calibri" w:hAnsi="Calibri"/>
                <w:b/>
                <w:bCs/>
                <w:color w:val="241C17"/>
                <w:sz w:val="17"/>
                <w:szCs w:val="17"/>
              </w:rPr>
              <w:t xml:space="preserve">2,760,000</w:t>
            </w:r>
          </w:p>
        </w:tc>
      </w:tr>
    </w:tbl>
    <w:p>
      <w:pPr>
        <w:spacing w:after="60"/>
      </w:pPr>
    </w:p>
    <w:p>
      <w:pPr>
        <w:spacing w:after="100" w:before="0" w:line="250"/>
      </w:pPr>
      <w:r>
        <w:rPr>
          <w:rFonts w:ascii="Calibri" w:cs="Calibri" w:eastAsia="Calibri" w:hAnsi="Calibri"/>
          <w:color w:val="6A5D53"/>
          <w:sz w:val="17"/>
          <w:szCs w:val="17"/>
        </w:rPr>
        <w:t xml:space="preserve">Rates are [TO CONFIRM] with BLHSD and against market before submission. They are derived from the bands already used in the Phase 2 workplan, not from independent market research. Contracting modality — whether engaged directly by WHO or through a third party, and under which instrument — is [TO CONFIRM].</w:t>
      </w:r>
    </w:p>
    <w:p>
      <w:pPr>
        <w:pStyle w:val="Heading2"/>
        <w:spacing w:after="80" w:before="180"/>
      </w:pPr>
      <w:r>
        <w:rPr>
          <w:rFonts w:ascii="Calibri" w:cs="Calibri" w:eastAsia="Calibri" w:hAnsi="Calibri"/>
          <w:b/>
          <w:bCs/>
          <w:color w:val="0C7C7E"/>
          <w:sz w:val="20"/>
          <w:szCs w:val="20"/>
        </w:rPr>
        <w:t xml:space="preserve">5.2  Hosting and infrastructure — 12 months only</w:t>
      </w:r>
    </w:p>
    <w:tbl>
      <w:tblPr>
        <w:tblW w:type="dxa" w:w="10080"/>
        <w:tblBorders>
          <w:top w:val="single" w:color="C9BFB2" w:sz="2"/>
          <w:left w:val="single" w:color="C9BFB2" w:sz="2"/>
          <w:bottom w:val="single" w:color="C9BFB2" w:sz="2"/>
          <w:right w:val="single" w:color="C9BFB2" w:sz="2"/>
          <w:insideH w:val="single" w:color="C9BFB2" w:sz="2"/>
          <w:insideV w:val="single" w:color="C9BFB2" w:sz="2"/>
        </w:tblBorders>
      </w:tblPr>
      <w:tblGrid>
        <w:gridCol w:w="6580"/>
        <w:gridCol w:w="1900"/>
        <w:gridCol w:w="1600"/>
      </w:tblGrid>
      <w:tr>
        <w:tc>
          <w:tcPr>
            <w:tcW w:type="dxa" w:w="658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Line</w:t>
            </w:r>
          </w:p>
        </w:tc>
        <w:tc>
          <w:tcPr>
            <w:tcW w:type="dxa" w:w="190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Basis</w:t>
            </w:r>
          </w:p>
        </w:tc>
        <w:tc>
          <w:tcPr>
            <w:tcW w:type="dxa" w:w="160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7"/>
                <w:szCs w:val="17"/>
              </w:rPr>
              <w:t xml:space="preserve">Amount (PHP)</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Cloud hosting and managed database, sized for pilot and rollout load</w:t>
            </w:r>
          </w:p>
        </w:tc>
        <w:tc>
          <w:tcPr>
            <w:tcW w:type="dxa" w:w="1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PHP 25,000/mo × 12</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300,000</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Monitoring, backups and restore drills, domain and SSL, supporting SaaS tooling</w:t>
            </w:r>
          </w:p>
        </w:tc>
        <w:tc>
          <w:tcPr>
            <w:tcW w:type="dxa" w:w="19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PHP 15,000/mo × 12</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180,000</w:t>
            </w:r>
          </w:p>
        </w:tc>
      </w:tr>
      <w:tr>
        <w:tc>
          <w:tcPr>
            <w:tcW w:type="dxa" w:w="6580"/>
            <w:shd w:fill="F1ECE4" w:color="auto" w:val="clear"/>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Subtotal — hosting and infrastructure</w:t>
            </w:r>
          </w:p>
        </w:tc>
        <w:tc>
          <w:tcPr>
            <w:tcW w:type="dxa" w:w="1900"/>
            <w:shd w:fill="F1ECE4" w:color="auto" w:val="clear"/>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
            </w:r>
          </w:p>
        </w:tc>
        <w:tc>
          <w:tcPr>
            <w:tcW w:type="dxa" w:w="1600"/>
            <w:shd w:fill="F1ECE4" w:color="auto" w:val="clear"/>
            <w:tcMar>
              <w:top w:type="dxa" w:w="64"/>
              <w:left w:type="dxa" w:w="108"/>
              <w:bottom w:type="dxa" w:w="64"/>
              <w:right w:type="dxa" w:w="108"/>
            </w:tcMar>
          </w:tcPr>
          <w:p>
            <w:pPr>
              <w:spacing w:after="0" w:line="235"/>
              <w:jc w:val="right"/>
            </w:pPr>
            <w:r>
              <w:rPr>
                <w:rFonts w:ascii="Calibri" w:cs="Calibri" w:eastAsia="Calibri" w:hAnsi="Calibri"/>
                <w:b/>
                <w:bCs/>
                <w:color w:val="241C17"/>
                <w:sz w:val="17"/>
                <w:szCs w:val="17"/>
              </w:rPr>
              <w:t xml:space="preserve">480,000</w:t>
            </w:r>
          </w:p>
        </w:tc>
      </w:tr>
    </w:tbl>
    <w:p>
      <w:pPr>
        <w:spacing w:after="60"/>
      </w:pPr>
    </w:p>
    <w:p>
      <w:pPr>
        <w:spacing w:after="100" w:before="0" w:line="250"/>
      </w:pPr>
      <w:r>
        <w:rPr>
          <w:rFonts w:ascii="Calibri" w:cs="Calibri" w:eastAsia="Calibri" w:hAnsi="Calibri"/>
          <w:b/>
          <w:bCs/>
          <w:color w:val="241C17"/>
          <w:sz w:val="19"/>
          <w:szCs w:val="19"/>
        </w:rPr>
        <w:t xml:space="preserve">This line does not recur.</w:t>
      </w:r>
      <w:r>
        <w:rPr>
          <w:rFonts w:ascii="Calibri" w:cs="Calibri" w:eastAsia="Calibri" w:hAnsi="Calibri"/>
          <w:color w:val="241C17"/>
          <w:sz w:val="19"/>
          <w:szCs w:val="19"/>
        </w:rPr>
        <w:t xml:space="preserve"> It funds the runway to the transfer described in Section 6, and stops there.</w:t>
      </w:r>
    </w:p>
    <w:p>
      <w:pPr>
        <w:pStyle w:val="Heading2"/>
        <w:spacing w:after="80" w:before="180"/>
      </w:pPr>
      <w:r>
        <w:rPr>
          <w:rFonts w:ascii="Calibri" w:cs="Calibri" w:eastAsia="Calibri" w:hAnsi="Calibri"/>
          <w:b/>
          <w:bCs/>
          <w:color w:val="0C7C7E"/>
          <w:sz w:val="20"/>
          <w:szCs w:val="20"/>
        </w:rPr>
        <w:t xml:space="preserve">5.3  AI tooling — for building the Knowledge Base</w:t>
      </w:r>
    </w:p>
    <w:tbl>
      <w:tblPr>
        <w:tblW w:type="dxa" w:w="10080"/>
        <w:tblBorders>
          <w:top w:val="single" w:color="C9BFB2" w:sz="2"/>
          <w:left w:val="single" w:color="C9BFB2" w:sz="2"/>
          <w:bottom w:val="single" w:color="C9BFB2" w:sz="2"/>
          <w:right w:val="single" w:color="C9BFB2" w:sz="2"/>
          <w:insideH w:val="single" w:color="C9BFB2" w:sz="2"/>
          <w:insideV w:val="single" w:color="C9BFB2" w:sz="2"/>
        </w:tblBorders>
      </w:tblPr>
      <w:tblGrid>
        <w:gridCol w:w="4200"/>
        <w:gridCol w:w="3080"/>
        <w:gridCol w:w="1200"/>
        <w:gridCol w:w="1600"/>
      </w:tblGrid>
      <w:tr>
        <w:tc>
          <w:tcPr>
            <w:tcW w:type="dxa" w:w="420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Line</w:t>
            </w:r>
          </w:p>
        </w:tc>
        <w:tc>
          <w:tcPr>
            <w:tcW w:type="dxa" w:w="308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Basis</w:t>
            </w:r>
          </w:p>
        </w:tc>
        <w:tc>
          <w:tcPr>
            <w:tcW w:type="dxa" w:w="120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7"/>
                <w:szCs w:val="17"/>
              </w:rPr>
              <w:t xml:space="preserve">US$</w:t>
            </w:r>
          </w:p>
        </w:tc>
        <w:tc>
          <w:tcPr>
            <w:tcW w:type="dxa" w:w="160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7"/>
                <w:szCs w:val="17"/>
              </w:rPr>
              <w:t xml:space="preserve">Amount (PHP)</w:t>
            </w:r>
          </w:p>
        </w:tc>
      </w:tr>
      <w:tr>
        <w:tc>
          <w:tcPr>
            <w:tcW w:type="dxa" w:w="42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Claude Max 20× — 2 authoring seats</w:t>
            </w:r>
          </w:p>
        </w:tc>
        <w:tc>
          <w:tcPr>
            <w:tcW w:type="dxa" w:w="30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US$200/seat/month × 2 × 12</w:t>
            </w:r>
          </w:p>
        </w:tc>
        <w:tc>
          <w:tcPr>
            <w:tcW w:type="dxa" w:w="12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4,800</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278,400</w:t>
            </w:r>
          </w:p>
        </w:tc>
      </w:tr>
      <w:tr>
        <w:tc>
          <w:tcPr>
            <w:tcW w:type="dxa" w:w="420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Gemini API — usage allowance, not-to-exceed</w:t>
            </w:r>
          </w:p>
        </w:tc>
        <w:tc>
          <w:tcPr>
            <w:tcW w:type="dxa" w:w="30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See 5.4</w:t>
            </w:r>
          </w:p>
        </w:tc>
        <w:tc>
          <w:tcPr>
            <w:tcW w:type="dxa" w:w="12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603</w:t>
            </w:r>
          </w:p>
        </w:tc>
        <w:tc>
          <w:tcPr>
            <w:tcW w:type="dxa" w:w="160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35,000</w:t>
            </w:r>
          </w:p>
        </w:tc>
      </w:tr>
      <w:tr>
        <w:tc>
          <w:tcPr>
            <w:tcW w:type="dxa" w:w="4200"/>
            <w:shd w:fill="F1ECE4" w:color="auto" w:val="clear"/>
            <w:tcMar>
              <w:top w:type="dxa" w:w="64"/>
              <w:left w:type="dxa" w:w="108"/>
              <w:bottom w:type="dxa" w:w="64"/>
              <w:right w:type="dxa" w:w="108"/>
            </w:tcMar>
          </w:tcPr>
          <w:p>
            <w:pPr>
              <w:spacing w:after="0" w:line="235"/>
            </w:pPr>
            <w:r>
              <w:rPr>
                <w:rFonts w:ascii="Calibri" w:cs="Calibri" w:eastAsia="Calibri" w:hAnsi="Calibri"/>
                <w:b/>
                <w:bCs/>
                <w:color w:val="241C17"/>
                <w:sz w:val="17"/>
                <w:szCs w:val="17"/>
              </w:rPr>
              <w:t xml:space="preserve">Subtotal — AI tooling</w:t>
            </w:r>
          </w:p>
        </w:tc>
        <w:tc>
          <w:tcPr>
            <w:tcW w:type="dxa" w:w="3080"/>
            <w:shd w:fill="F1ECE4" w:color="auto" w:val="clear"/>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
            </w:r>
          </w:p>
        </w:tc>
        <w:tc>
          <w:tcPr>
            <w:tcW w:type="dxa" w:w="1200"/>
            <w:shd w:fill="F1ECE4" w:color="auto" w:val="clear"/>
            <w:tcMar>
              <w:top w:type="dxa" w:w="64"/>
              <w:left w:type="dxa" w:w="108"/>
              <w:bottom w:type="dxa" w:w="64"/>
              <w:right w:type="dxa" w:w="108"/>
            </w:tcMar>
          </w:tcPr>
          <w:p>
            <w:pPr>
              <w:spacing w:after="0" w:line="235"/>
              <w:jc w:val="right"/>
            </w:pPr>
            <w:r>
              <w:rPr>
                <w:rFonts w:ascii="Calibri" w:cs="Calibri" w:eastAsia="Calibri" w:hAnsi="Calibri"/>
                <w:b/>
                <w:bCs/>
                <w:color w:val="241C17"/>
                <w:sz w:val="17"/>
                <w:szCs w:val="17"/>
              </w:rPr>
              <w:t xml:space="preserve">5,403</w:t>
            </w:r>
          </w:p>
        </w:tc>
        <w:tc>
          <w:tcPr>
            <w:tcW w:type="dxa" w:w="1600"/>
            <w:shd w:fill="F1ECE4" w:color="auto" w:val="clear"/>
            <w:tcMar>
              <w:top w:type="dxa" w:w="64"/>
              <w:left w:type="dxa" w:w="108"/>
              <w:bottom w:type="dxa" w:w="64"/>
              <w:right w:type="dxa" w:w="108"/>
            </w:tcMar>
          </w:tcPr>
          <w:p>
            <w:pPr>
              <w:spacing w:after="0" w:line="235"/>
              <w:jc w:val="right"/>
            </w:pPr>
            <w:r>
              <w:rPr>
                <w:rFonts w:ascii="Calibri" w:cs="Calibri" w:eastAsia="Calibri" w:hAnsi="Calibri"/>
                <w:b/>
                <w:bCs/>
                <w:color w:val="241C17"/>
                <w:sz w:val="17"/>
                <w:szCs w:val="17"/>
              </w:rPr>
              <w:t xml:space="preserve">313,400</w:t>
            </w:r>
          </w:p>
        </w:tc>
      </w:tr>
    </w:tbl>
    <w:p>
      <w:pPr>
        <w:pStyle w:val="Heading2"/>
        <w:spacing w:after="80" w:before="180"/>
      </w:pPr>
      <w:r>
        <w:rPr>
          <w:rFonts w:ascii="Calibri" w:cs="Calibri" w:eastAsia="Calibri" w:hAnsi="Calibri"/>
          <w:b/>
          <w:bCs/>
          <w:color w:val="0C7C7E"/>
          <w:sz w:val="20"/>
          <w:szCs w:val="20"/>
        </w:rPr>
        <w:t xml:space="preserve">5.4  How the Gemini API figure was built</w:t>
      </w:r>
    </w:p>
    <w:p>
      <w:pPr>
        <w:spacing w:after="100" w:before="0" w:line="250"/>
      </w:pPr>
      <w:r>
        <w:rPr>
          <w:rFonts w:ascii="Calibri" w:cs="Calibri" w:eastAsia="Calibri" w:hAnsi="Calibri"/>
          <w:color w:val="241C17"/>
          <w:sz w:val="19"/>
          <w:szCs w:val="19"/>
        </w:rPr>
        <w:t xml:space="preserve">Gemini is used programmatically, not as a subscription seat: the platform calls it to draft a Knowledge Base entry from a gap question an admin has already cleared, and every draft is validated in code and then reviewed by a person before anything is published.</w:t>
      </w:r>
    </w:p>
    <w:p>
      <w:pPr>
        <w:spacing w:after="100" w:before="0" w:line="250"/>
      </w:pPr>
      <w:r>
        <w:rPr>
          <w:rFonts w:ascii="Calibri" w:cs="Calibri" w:eastAsia="Calibri" w:hAnsi="Calibri"/>
          <w:color w:val="241C17"/>
          <w:sz w:val="19"/>
          <w:szCs w:val="19"/>
        </w:rPr>
        <w:t xml:space="preserve">At the configured model (gemini-3.6-flash, US$0.75 per million input tokens and US$3.75 per million output tokens through 31 December 2026, doubling on 1 January 2027) and roughly 800 input and 800 output tokens per draft, the Year-1 target of 150+ published bilingual entries — allowing five drafting passes each, plus gap-queue triage throughout the year — models to </w:t>
      </w:r>
      <w:r>
        <w:rPr>
          <w:rFonts w:ascii="Calibri" w:cs="Calibri" w:eastAsia="Calibri" w:hAnsi="Calibri"/>
          <w:b/>
          <w:bCs/>
          <w:color w:val="241C17"/>
          <w:sz w:val="19"/>
          <w:szCs w:val="19"/>
        </w:rPr>
        <w:t xml:space="preserve">well under US$50</w:t>
      </w:r>
      <w:r>
        <w:rPr>
          <w:rFonts w:ascii="Calibri" w:cs="Calibri" w:eastAsia="Calibri" w:hAnsi="Calibri"/>
          <w:color w:val="241C17"/>
          <w:sz w:val="19"/>
          <w:szCs w:val="19"/>
        </w:rPr>
        <w:t xml:space="preserve">.</w:t>
      </w:r>
    </w:p>
    <w:p>
      <w:pPr>
        <w:spacing w:after="100" w:before="0" w:line="250"/>
      </w:pPr>
      <w:r>
        <w:rPr>
          <w:rFonts w:ascii="Calibri" w:cs="Calibri" w:eastAsia="Calibri" w:hAnsi="Calibri"/>
          <w:color w:val="241C17"/>
          <w:sz w:val="19"/>
          <w:szCs w:val="19"/>
        </w:rPr>
        <w:t xml:space="preserve">The </w:t>
      </w:r>
      <w:r>
        <w:rPr>
          <w:rFonts w:ascii="Calibri" w:cs="Calibri" w:eastAsia="Calibri" w:hAnsi="Calibri"/>
          <w:b/>
          <w:bCs/>
          <w:color w:val="241C17"/>
          <w:sz w:val="19"/>
          <w:szCs w:val="19"/>
        </w:rPr>
        <w:t xml:space="preserve">US$603 (PHP 35,000)</w:t>
      </w:r>
      <w:r>
        <w:rPr>
          <w:rFonts w:ascii="Calibri" w:cs="Calibri" w:eastAsia="Calibri" w:hAnsi="Calibri"/>
          <w:color w:val="241C17"/>
          <w:sz w:val="19"/>
          <w:szCs w:val="19"/>
        </w:rPr>
        <w:t xml:space="preserve"> allowance is therefore roughly fifteen times the modelled need. It is set deliberately high to absorb the January 2027 price change, heavier drafting than projected, and any future use of the optional Chat Guide gap-fallback. </w:t>
      </w:r>
      <w:r>
        <w:rPr>
          <w:rFonts w:ascii="Calibri" w:cs="Calibri" w:eastAsia="Calibri" w:hAnsi="Calibri"/>
          <w:b/>
          <w:bCs/>
          <w:color w:val="241C17"/>
          <w:sz w:val="19"/>
          <w:szCs w:val="19"/>
        </w:rPr>
        <w:t xml:space="preserve">It is a not-to-exceed ceiling, not a forecast.</w:t>
      </w:r>
      <w:r>
        <w:rPr>
          <w:rFonts w:ascii="Calibri" w:cs="Calibri" w:eastAsia="Calibri" w:hAnsi="Calibri"/>
          <w:color w:val="241C17"/>
          <w:sz w:val="19"/>
          <w:szCs w:val="19"/>
        </w:rPr>
        <w:t xml:space="preserve"> Unspent balance is not drawn.</w:t>
      </w:r>
    </w:p>
    <w:p>
      <w:pPr>
        <w:spacing w:after="100" w:before="0" w:line="250"/>
      </w:pPr>
      <w:r>
        <w:rPr>
          <w:rFonts w:ascii="Calibri" w:cs="Calibri" w:eastAsia="Calibri" w:hAnsi="Calibri"/>
          <w:color w:val="241C17"/>
          <w:sz w:val="19"/>
          <w:szCs w:val="19"/>
        </w:rPr>
        <w:t xml:space="preserve">The ceiling is also enforced in software rather than by good intentions: the platform caps AI calls at 1,200 per day and 8,400 per week and refuses the call beyond that, so the line cannot overrun without an operator deliberately raising it.</w:t>
      </w:r>
    </w:p>
    <w:p>
      <w:pPr>
        <w:pStyle w:val="Heading2"/>
        <w:spacing w:after="80" w:before="180"/>
      </w:pPr>
      <w:r>
        <w:rPr>
          <w:rFonts w:ascii="Calibri" w:cs="Calibri" w:eastAsia="Calibri" w:hAnsi="Calibri"/>
          <w:b/>
          <w:bCs/>
          <w:color w:val="0C7C7E"/>
          <w:sz w:val="20"/>
          <w:szCs w:val="20"/>
        </w:rPr>
        <w:t xml:space="preserve">5.5  Total</w:t>
      </w:r>
    </w:p>
    <w:tbl>
      <w:tblPr>
        <w:tblW w:type="dxa" w:w="10080"/>
        <w:tblBorders>
          <w:top w:val="single" w:color="C9BFB2" w:sz="2"/>
          <w:left w:val="single" w:color="C9BFB2" w:sz="2"/>
          <w:bottom w:val="single" w:color="C9BFB2" w:sz="2"/>
          <w:right w:val="single" w:color="C9BFB2" w:sz="2"/>
          <w:insideH w:val="single" w:color="C9BFB2" w:sz="2"/>
          <w:insideV w:val="single" w:color="C9BFB2" w:sz="2"/>
        </w:tblBorders>
      </w:tblPr>
      <w:tblGrid>
        <w:gridCol w:w="6580"/>
        <w:gridCol w:w="1750"/>
        <w:gridCol w:w="1750"/>
      </w:tblGrid>
      <w:tr>
        <w:tc>
          <w:tcPr>
            <w:tcW w:type="dxa" w:w="658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7"/>
                <w:szCs w:val="17"/>
              </w:rPr>
              <w:t xml:space="preserve"/>
            </w:r>
          </w:p>
        </w:tc>
        <w:tc>
          <w:tcPr>
            <w:tcW w:type="dxa" w:w="175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7"/>
                <w:szCs w:val="17"/>
              </w:rPr>
              <w:t xml:space="preserve">US$ ≈</w:t>
            </w:r>
          </w:p>
        </w:tc>
        <w:tc>
          <w:tcPr>
            <w:tcW w:type="dxa" w:w="175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7"/>
                <w:szCs w:val="17"/>
              </w:rPr>
              <w:t xml:space="preserve">Amount (PHP)</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Personnel (77.7%)</w:t>
            </w:r>
          </w:p>
        </w:tc>
        <w:tc>
          <w:tcPr>
            <w:tcW w:type="dxa" w:w="175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47,586</w:t>
            </w:r>
          </w:p>
        </w:tc>
        <w:tc>
          <w:tcPr>
            <w:tcW w:type="dxa" w:w="175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2,760,000</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Hosting and infrastructure (13.5%)</w:t>
            </w:r>
          </w:p>
        </w:tc>
        <w:tc>
          <w:tcPr>
            <w:tcW w:type="dxa" w:w="175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8,276</w:t>
            </w:r>
          </w:p>
        </w:tc>
        <w:tc>
          <w:tcPr>
            <w:tcW w:type="dxa" w:w="175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480,000</w:t>
            </w:r>
          </w:p>
        </w:tc>
      </w:tr>
      <w:tr>
        <w:tc>
          <w:tcPr>
            <w:tcW w:type="dxa" w:w="6580"/>
            <w:tcMar>
              <w:top w:type="dxa" w:w="64"/>
              <w:left w:type="dxa" w:w="108"/>
              <w:bottom w:type="dxa" w:w="64"/>
              <w:right w:type="dxa" w:w="108"/>
            </w:tcMar>
          </w:tcPr>
          <w:p>
            <w:pPr>
              <w:spacing w:after="0" w:line="235"/>
            </w:pPr>
            <w:r>
              <w:rPr>
                <w:rFonts w:ascii="Calibri" w:cs="Calibri" w:eastAsia="Calibri" w:hAnsi="Calibri"/>
                <w:color w:val="241C17"/>
                <w:sz w:val="17"/>
                <w:szCs w:val="17"/>
              </w:rPr>
              <w:t xml:space="preserve">AI tooling (8.8%)</w:t>
            </w:r>
          </w:p>
        </w:tc>
        <w:tc>
          <w:tcPr>
            <w:tcW w:type="dxa" w:w="175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5,403</w:t>
            </w:r>
          </w:p>
        </w:tc>
        <w:tc>
          <w:tcPr>
            <w:tcW w:type="dxa" w:w="1750"/>
            <w:tcMar>
              <w:top w:type="dxa" w:w="64"/>
              <w:left w:type="dxa" w:w="108"/>
              <w:bottom w:type="dxa" w:w="64"/>
              <w:right w:type="dxa" w:w="108"/>
            </w:tcMar>
          </w:tcPr>
          <w:p>
            <w:pPr>
              <w:spacing w:after="0" w:line="235"/>
              <w:jc w:val="right"/>
            </w:pPr>
            <w:r>
              <w:rPr>
                <w:rFonts w:ascii="Calibri" w:cs="Calibri" w:eastAsia="Calibri" w:hAnsi="Calibri"/>
                <w:color w:val="241C17"/>
                <w:sz w:val="17"/>
                <w:szCs w:val="17"/>
              </w:rPr>
              <w:t xml:space="preserve">313,400</w:t>
            </w:r>
          </w:p>
        </w:tc>
      </w:tr>
      <w:tr>
        <w:tc>
          <w:tcPr>
            <w:tcW w:type="dxa" w:w="6580"/>
            <w:shd w:fill="0A4A4B" w:color="auto" w:val="clear"/>
            <w:tcMar>
              <w:top w:type="dxa" w:w="64"/>
              <w:left w:type="dxa" w:w="108"/>
              <w:bottom w:type="dxa" w:w="64"/>
              <w:right w:type="dxa" w:w="108"/>
            </w:tcMar>
          </w:tcPr>
          <w:p>
            <w:pPr>
              <w:spacing w:after="0" w:line="235"/>
            </w:pPr>
            <w:r>
              <w:rPr>
                <w:rFonts w:ascii="Calibri" w:cs="Calibri" w:eastAsia="Calibri" w:hAnsi="Calibri"/>
                <w:b/>
                <w:bCs/>
                <w:color w:val="FFFFFF"/>
                <w:sz w:val="18"/>
                <w:szCs w:val="18"/>
              </w:rPr>
              <w:t xml:space="preserve">YEAR-1 TOTAL</w:t>
            </w:r>
          </w:p>
        </w:tc>
        <w:tc>
          <w:tcPr>
            <w:tcW w:type="dxa" w:w="175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8"/>
                <w:szCs w:val="18"/>
              </w:rPr>
              <w:t xml:space="preserve">61,265</w:t>
            </w:r>
          </w:p>
        </w:tc>
        <w:tc>
          <w:tcPr>
            <w:tcW w:type="dxa" w:w="1750"/>
            <w:shd w:fill="0A4A4B" w:color="auto" w:val="clear"/>
            <w:tcMar>
              <w:top w:type="dxa" w:w="64"/>
              <w:left w:type="dxa" w:w="108"/>
              <w:bottom w:type="dxa" w:w="64"/>
              <w:right w:type="dxa" w:w="108"/>
            </w:tcMar>
          </w:tcPr>
          <w:p>
            <w:pPr>
              <w:spacing w:after="0" w:line="235"/>
              <w:jc w:val="right"/>
            </w:pPr>
            <w:r>
              <w:rPr>
                <w:rFonts w:ascii="Calibri" w:cs="Calibri" w:eastAsia="Calibri" w:hAnsi="Calibri"/>
                <w:b/>
                <w:bCs/>
                <w:color w:val="FFFFFF"/>
                <w:sz w:val="18"/>
                <w:szCs w:val="18"/>
              </w:rPr>
              <w:t xml:space="preserve">3,553,400</w:t>
            </w:r>
          </w:p>
        </w:tc>
      </w:tr>
    </w:tbl>
    <w:p>
      <w:pPr>
        <w:spacing w:after="70"/>
      </w:pPr>
    </w:p>
    <w:p>
      <w:pPr>
        <w:spacing w:after="100" w:before="0" w:line="250"/>
      </w:pPr>
      <w:r>
        <w:rPr>
          <w:rFonts w:ascii="Calibri" w:cs="Calibri" w:eastAsia="Calibri" w:hAnsi="Calibri"/>
          <w:color w:val="241C17"/>
          <w:sz w:val="19"/>
          <w:szCs w:val="19"/>
        </w:rPr>
        <w:t xml:space="preserve">No contingency line is included. Salaries, hosting and tooling are fixed and knowable, and a contingency against them would be padding. The one real exposure is foreign exchange: the AI tooling lines are denominated in US dollars, so PHP 58/US$ is an assumption rather than a fact.</w:t>
      </w:r>
    </w:p>
    <w:p>
      <w:pPr>
        <w:pStyle w:val="Heading1"/>
        <w:spacing w:after="110" w:before="240"/>
      </w:pPr>
      <w:r>
        <w:rPr>
          <w:rFonts w:ascii="Calibri" w:cs="Calibri" w:eastAsia="Calibri" w:hAnsi="Calibri"/>
          <w:b/>
          <w:bCs/>
          <w:color w:val="0C7C7E"/>
          <w:sz w:val="28"/>
          <w:szCs w:val="28"/>
        </w:rPr>
        <w:t xml:space="preserve">6.  Hosting transfers to DOH before closeout</w:t>
      </w:r>
    </w:p>
    <w:p>
      <w:pPr>
        <w:shd w:fill="EAF2F1" w:color="auto" w:val="clear"/>
        <w:spacing w:after="130" w:before="0" w:line="250"/>
      </w:pPr>
      <w:r>
        <w:rPr>
          <w:rFonts w:ascii="Calibri" w:cs="Calibri" w:eastAsia="Calibri" w:hAnsi="Calibri"/>
          <w:color w:val="241C17"/>
          <w:sz w:val="19"/>
          <w:szCs w:val="19"/>
        </w:rPr>
        <w:t xml:space="preserve">The hosting line above buys twelve months of runway, not a standing arrangement. </w:t>
      </w:r>
      <w:r>
        <w:rPr>
          <w:rFonts w:ascii="Calibri" w:cs="Calibri" w:eastAsia="Calibri" w:hAnsi="Calibri"/>
          <w:b/>
          <w:bCs/>
          <w:color w:val="241C17"/>
          <w:sz w:val="19"/>
          <w:szCs w:val="19"/>
        </w:rPr>
        <w:t xml:space="preserve">Before the engagement closes, the platform migrates onto DOH-owned infrastructure, under a hosting agreement with DOH KMITS. From that point the platform runs on government infrastructure at government cost, and WHO’s hosting obligation ends.</w:t>
      </w:r>
    </w:p>
    <w:p>
      <w:pPr>
        <w:spacing w:after="100" w:before="0" w:line="250"/>
      </w:pPr>
      <w:r>
        <w:rPr>
          <w:rFonts w:ascii="Calibri" w:cs="Calibri" w:eastAsia="Calibri" w:hAnsi="Calibri"/>
          <w:color w:val="241C17"/>
          <w:sz w:val="19"/>
          <w:szCs w:val="19"/>
        </w:rPr>
        <w:t xml:space="preserve">This is a commitment, not an aspiration, and three things make it deliverable:</w:t>
      </w:r>
    </w:p>
    <w:p>
      <w:pPr>
        <w:pStyle w:val="ListParagraph"/>
        <w:numPr>
          <w:ilvl w:val="0"/>
          <w:numId w:val="2"/>
        </w:numPr>
        <w:spacing w:after="60" w:line="245"/>
      </w:pPr>
      <w:r>
        <w:rPr>
          <w:rFonts w:ascii="Calibri" w:cs="Calibri" w:eastAsia="Calibri" w:hAnsi="Calibri"/>
          <w:b/>
          <w:bCs/>
          <w:color w:val="241C17"/>
          <w:sz w:val="18"/>
          <w:szCs w:val="18"/>
        </w:rPr>
        <w:t xml:space="preserve">The architecture was built for it.</w:t>
      </w:r>
      <w:r>
        <w:rPr>
          <w:rFonts w:ascii="Calibri" w:cs="Calibri" w:eastAsia="Calibri" w:hAnsi="Calibri"/>
          <w:b w:val="false"/>
          <w:bCs w:val="false"/>
          <w:color w:val="241C17"/>
          <w:sz w:val="18"/>
          <w:szCs w:val="18"/>
        </w:rPr>
        <w:t xml:space="preserve"> An open, non-proprietary PostgreSQL core with no proprietary managed-service lock-in. Migration is a database and deployment exercise, not a rewrite.</w:t>
      </w:r>
    </w:p>
    <w:p>
      <w:pPr>
        <w:pStyle w:val="ListParagraph"/>
        <w:numPr>
          <w:ilvl w:val="0"/>
          <w:numId w:val="2"/>
        </w:numPr>
        <w:spacing w:after="60" w:line="245"/>
      </w:pPr>
      <w:r>
        <w:rPr>
          <w:rFonts w:ascii="Calibri" w:cs="Calibri" w:eastAsia="Calibri" w:hAnsi="Calibri"/>
          <w:b/>
          <w:bCs/>
          <w:color w:val="241C17"/>
          <w:sz w:val="18"/>
          <w:szCs w:val="18"/>
        </w:rPr>
        <w:t xml:space="preserve">It is a scheduled deliverable, not a closing formality.</w:t>
      </w:r>
      <w:r>
        <w:rPr>
          <w:rFonts w:ascii="Calibri" w:cs="Calibri" w:eastAsia="Calibri" w:hAnsi="Calibri"/>
          <w:b w:val="false"/>
          <w:bCs w:val="false"/>
          <w:color w:val="241C17"/>
          <w:sz w:val="18"/>
          <w:szCs w:val="18"/>
        </w:rPr>
        <w:t xml:space="preserve"> The migration is planned, rehearsed against the existing backup-and-restore runbook, and completed inside the twelve months — with the cutover treated as an acceptance gate, so the engagement is not signed off until the platform is running on DOH infrastructure.</w:t>
      </w:r>
    </w:p>
    <w:p>
      <w:pPr>
        <w:pStyle w:val="ListParagraph"/>
        <w:numPr>
          <w:ilvl w:val="0"/>
          <w:numId w:val="2"/>
        </w:numPr>
        <w:spacing w:after="60" w:line="245"/>
      </w:pPr>
      <w:r>
        <w:rPr>
          <w:rFonts w:ascii="Calibri" w:cs="Calibri" w:eastAsia="Calibri" w:hAnsi="Calibri"/>
          <w:b/>
          <w:bCs/>
          <w:color w:val="241C17"/>
          <w:sz w:val="18"/>
          <w:szCs w:val="18"/>
        </w:rPr>
        <w:t xml:space="preserve">DOH carries it afterwards.</w:t>
      </w:r>
      <w:r>
        <w:rPr>
          <w:rFonts w:ascii="Calibri" w:cs="Calibri" w:eastAsia="Calibri" w:hAnsi="Calibri"/>
          <w:b w:val="false"/>
          <w:bCs w:val="false"/>
          <w:color w:val="241C17"/>
          <w:sz w:val="18"/>
          <w:szCs w:val="18"/>
        </w:rPr>
        <w:t xml:space="preserve"> Hosting, maintenance, staffing and content upkeep become a BLHSD budget line from cutover onward, consistent with the sustainability commitments in the accompanying concept note.</w:t>
      </w:r>
    </w:p>
    <w:p>
      <w:pPr>
        <w:spacing w:after="100" w:before="90" w:line="250"/>
      </w:pPr>
      <w:r>
        <w:rPr>
          <w:rFonts w:ascii="Calibri" w:cs="Calibri" w:eastAsia="Calibri" w:hAnsi="Calibri"/>
          <w:color w:val="241C17"/>
          <w:sz w:val="19"/>
          <w:szCs w:val="19"/>
        </w:rPr>
        <w:t xml:space="preserve">The practical effect for WHO: </w:t>
      </w:r>
      <w:r>
        <w:rPr>
          <w:rFonts w:ascii="Calibri" w:cs="Calibri" w:eastAsia="Calibri" w:hAnsi="Calibri"/>
          <w:b/>
          <w:bCs/>
          <w:color w:val="241C17"/>
          <w:sz w:val="19"/>
          <w:szCs w:val="19"/>
        </w:rPr>
        <w:t xml:space="preserve">this is a one-year cost with a defined end, not the first year of a subscription.</w:t>
      </w:r>
      <w:r>
        <w:rPr>
          <w:rFonts w:ascii="Calibri" w:cs="Calibri" w:eastAsia="Calibri" w:hAnsi="Calibri"/>
          <w:color w:val="241C17"/>
          <w:sz w:val="19"/>
          <w:szCs w:val="19"/>
        </w:rPr>
        <w:t xml:space="preserve"> The exit is designed in, dated, and gated.</w:t>
      </w:r>
    </w:p>
    <w:p>
      <w:pPr>
        <w:spacing w:after="100" w:before="0" w:line="250"/>
      </w:pPr>
      <w:r>
        <w:rPr>
          <w:rFonts w:ascii="Calibri" w:cs="Calibri" w:eastAsia="Calibri" w:hAnsi="Calibri"/>
          <w:color w:val="6A5D53"/>
          <w:sz w:val="17"/>
          <w:szCs w:val="17"/>
        </w:rPr>
        <w:t xml:space="preserve">Migration target, KMITS hosting agreement status and cutover date are [TO CONFIRM].</w:t>
      </w:r>
    </w:p>
    <w:p>
      <w:pPr>
        <w:pStyle w:val="Heading1"/>
        <w:spacing w:after="110" w:before="240"/>
      </w:pPr>
      <w:r>
        <w:rPr>
          <w:rFonts w:ascii="Calibri" w:cs="Calibri" w:eastAsia="Calibri" w:hAnsi="Calibri"/>
          <w:b/>
          <w:bCs/>
          <w:color w:val="0C7C7E"/>
          <w:sz w:val="28"/>
          <w:szCs w:val="28"/>
        </w:rPr>
        <w:t xml:space="preserve">7.  What the AI tooling is — and what it is not</w:t>
      </w:r>
    </w:p>
    <w:p>
      <w:pPr>
        <w:spacing w:after="100" w:before="0" w:line="250"/>
      </w:pPr>
      <w:r>
        <w:rPr>
          <w:rFonts w:ascii="Calibri" w:cs="Calibri" w:eastAsia="Calibri" w:hAnsi="Calibri"/>
          <w:color w:val="241C17"/>
          <w:sz w:val="19"/>
          <w:szCs w:val="19"/>
        </w:rPr>
        <w:t xml:space="preserve">This line will be read closely, so it is stated plainly.</w:t>
      </w:r>
    </w:p>
    <w:p>
      <w:pPr>
        <w:spacing w:after="100" w:before="0" w:line="250"/>
      </w:pPr>
      <w:r>
        <w:rPr>
          <w:rFonts w:ascii="Calibri" w:cs="Calibri" w:eastAsia="Calibri" w:hAnsi="Calibri"/>
          <w:b/>
          <w:bCs/>
          <w:color w:val="241C17"/>
          <w:sz w:val="19"/>
          <w:szCs w:val="19"/>
        </w:rPr>
        <w:t xml:space="preserve">It is</w:t>
      </w:r>
      <w:r>
        <w:rPr>
          <w:rFonts w:ascii="Calibri" w:cs="Calibri" w:eastAsia="Calibri" w:hAnsi="Calibri"/>
          <w:color w:val="241C17"/>
          <w:sz w:val="19"/>
          <w:szCs w:val="19"/>
        </w:rPr>
        <w:t xml:space="preserve"> an authoring tool. The two Claude seats and the Gemini API allowance exist so that three people can build a bilingual Knowledge Base and six modules of course content in twelve months — drafting, translating, structuring and checking work that would otherwise be impossible at that headcount.</w:t>
      </w:r>
    </w:p>
    <w:p>
      <w:pPr>
        <w:spacing w:after="100" w:before="0" w:line="250"/>
      </w:pPr>
      <w:r>
        <w:rPr>
          <w:rFonts w:ascii="Calibri" w:cs="Calibri" w:eastAsia="Calibri" w:hAnsi="Calibri"/>
          <w:b/>
          <w:bCs/>
          <w:color w:val="241C17"/>
          <w:sz w:val="19"/>
          <w:szCs w:val="19"/>
        </w:rPr>
        <w:t xml:space="preserve">It is not</w:t>
      </w:r>
      <w:r>
        <w:rPr>
          <w:rFonts w:ascii="Calibri" w:cs="Calibri" w:eastAsia="Calibri" w:hAnsi="Calibri"/>
          <w:color w:val="241C17"/>
          <w:sz w:val="19"/>
          <w:szCs w:val="19"/>
        </w:rPr>
        <w:t xml:space="preserve"> a service that answers Barangay Health Workers. The platform’s answer path is a rule-based engine matching against DOH-approved content, with no per-question licensing and no marginal cost per matched answer. Whether an AI may ever answer a BHW directly is a DOH governance decision, not a technical default, and Year 1 ships the conservative path.</w:t>
      </w:r>
    </w:p>
    <w:p>
      <w:pPr>
        <w:spacing w:after="100" w:before="0" w:line="250"/>
      </w:pPr>
      <w:r>
        <w:rPr>
          <w:rFonts w:ascii="Calibri" w:cs="Calibri" w:eastAsia="Calibri" w:hAnsi="Calibri"/>
          <w:b/>
          <w:bCs/>
          <w:color w:val="241C17"/>
          <w:sz w:val="19"/>
          <w:szCs w:val="19"/>
        </w:rPr>
        <w:t xml:space="preserve">Nothing authored with these tools reaches a Barangay Health Worker unreviewed.</w:t>
      </w:r>
      <w:r>
        <w:rPr>
          <w:rFonts w:ascii="Calibri" w:cs="Calibri" w:eastAsia="Calibri" w:hAnsi="Calibri"/>
          <w:color w:val="241C17"/>
          <w:sz w:val="19"/>
          <w:szCs w:val="19"/>
        </w:rPr>
        <w:t xml:space="preserve"> Every entry is validated in code, cleared by the Content Review Panel, and approved by DOH before publication. All health content requires clinical validation and DOH approval before any BHW-facing use.</w:t>
      </w:r>
    </w:p>
    <w:p>
      <w:pPr>
        <w:pStyle w:val="Heading1"/>
        <w:spacing w:after="110" w:before="240"/>
      </w:pPr>
      <w:r>
        <w:rPr>
          <w:rFonts w:ascii="Calibri" w:cs="Calibri" w:eastAsia="Calibri" w:hAnsi="Calibri"/>
          <w:b/>
          <w:bCs/>
          <w:color w:val="0C7C7E"/>
          <w:sz w:val="28"/>
          <w:szCs w:val="28"/>
        </w:rPr>
        <w:t xml:space="preserve">8.  Supervision, reporting and assumptions</w:t>
      </w:r>
    </w:p>
    <w:p>
      <w:pPr>
        <w:spacing w:after="100" w:before="0" w:line="250"/>
      </w:pPr>
      <w:r>
        <w:rPr>
          <w:rFonts w:ascii="Calibri" w:cs="Calibri" w:eastAsia="Calibri" w:hAnsi="Calibri"/>
          <w:b/>
          <w:bCs/>
          <w:color w:val="241C17"/>
          <w:sz w:val="19"/>
          <w:szCs w:val="19"/>
        </w:rPr>
        <w:t xml:space="preserve">Supervision.</w:t>
      </w:r>
      <w:r>
        <w:rPr>
          <w:rFonts w:ascii="Calibri" w:cs="Calibri" w:eastAsia="Calibri" w:hAnsi="Calibri"/>
          <w:color w:val="241C17"/>
          <w:sz w:val="19"/>
          <w:szCs w:val="19"/>
        </w:rPr>
        <w:t xml:space="preserve"> The three personnel report to BLHSD, Equity in Health and Special Concerns Section, and work within the Technical Working Group’s delivery cadence. DOH supervises the work; WHO receives narrative and financial reporting on an agreed schedule.</w:t>
      </w:r>
    </w:p>
    <w:p>
      <w:pPr>
        <w:spacing w:after="100" w:before="0" w:line="250"/>
      </w:pPr>
      <w:r>
        <w:rPr>
          <w:rFonts w:ascii="Calibri" w:cs="Calibri" w:eastAsia="Calibri" w:hAnsi="Calibri"/>
          <w:b/>
          <w:bCs/>
          <w:color w:val="241C17"/>
          <w:sz w:val="19"/>
          <w:szCs w:val="19"/>
        </w:rPr>
        <w:t xml:space="preserve">Ownership.</w:t>
      </w:r>
      <w:r>
        <w:rPr>
          <w:rFonts w:ascii="Calibri" w:cs="Calibri" w:eastAsia="Calibri" w:hAnsi="Calibri"/>
          <w:color w:val="241C17"/>
          <w:sz w:val="19"/>
          <w:szCs w:val="19"/>
        </w:rPr>
        <w:t xml:space="preserve"> The platform, its source code, its database and all published content rest with the Department of Health throughout the engagement and after it, subject to a Memorandum of Agreement executed before implementation begins.</w:t>
      </w:r>
    </w:p>
    <w:p>
      <w:pPr>
        <w:spacing w:after="100" w:before="0" w:line="250"/>
      </w:pPr>
      <w:r>
        <w:rPr>
          <w:rFonts w:ascii="Calibri" w:cs="Calibri" w:eastAsia="Calibri" w:hAnsi="Calibri"/>
          <w:b/>
          <w:bCs/>
          <w:color w:val="241C17"/>
          <w:sz w:val="19"/>
          <w:szCs w:val="19"/>
        </w:rPr>
        <w:t xml:space="preserve">Assumptions.</w:t>
      </w:r>
      <w:r>
        <w:rPr>
          <w:rFonts w:ascii="Calibri" w:cs="Calibri" w:eastAsia="Calibri" w:hAnsi="Calibri"/>
          <w:color w:val="241C17"/>
          <w:sz w:val="19"/>
          <w:szCs w:val="19"/>
        </w:rPr>
        <w:t xml:space="preserve"> Twelve-month engagement · FX at PHP 58/US$ · salary and hosting rates [TO CONFIRM] with BLHSD · contracting modality [TO CONFIRM] · migration target and cutover date [TO CONFIRM] · subscription and API list prices as published on 28 August 2026 and subject to provider change · Gemini API line is a not-to-exceed allowance, drawn against actual usage.</w:t>
      </w:r>
    </w:p>
    <w:p>
      <w:pPr>
        <w:spacing w:after="100" w:before="0" w:line="250"/>
      </w:pPr>
      <w:r>
        <w:rPr>
          <w:rFonts w:ascii="Calibri" w:cs="Calibri" w:eastAsia="Calibri" w:hAnsi="Calibri"/>
          <w:b/>
          <w:bCs/>
          <w:color w:val="241C17"/>
          <w:sz w:val="19"/>
          <w:szCs w:val="19"/>
        </w:rPr>
        <w:t xml:space="preserve">Relationship to the concept note.</w:t>
      </w:r>
      <w:r>
        <w:rPr>
          <w:rFonts w:ascii="Calibri" w:cs="Calibri" w:eastAsia="Calibri" w:hAnsi="Calibri"/>
          <w:color w:val="241C17"/>
          <w:sz w:val="19"/>
          <w:szCs w:val="19"/>
        </w:rPr>
        <w:t xml:space="preserve"> This document prices only the DOH-side cash ask. The accompanying concept note’s Section 13 prices the full information-system programme bottom-up, including the rollout, equipment, production and evaluation lines that now sit with WHO’s APW. The two figures describe different scopes and should be read together.</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2026-08-28T06:16:31.808Z</dcterms:created>
  <dcterms:modified xsi:type="dcterms:W3CDTF">2026-08-28T06:16:31.808Z</dcterms:modified>
</cp:coreProperties>
</file>

<file path=docProps/custom.xml><?xml version="1.0" encoding="utf-8"?>
<Properties xmlns="http://schemas.openxmlformats.org/officeDocument/2006/custom-properties" xmlns:vt="http://schemas.openxmlformats.org/officeDocument/2006/docPropsVTypes"/>
</file>