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SHAREHOLDERS AGREEMENT — REDLINE SUMMARY</w:t>
      </w:r>
    </w:p>
    <w:p>
      <w:pPr>
        <w:jc w:val="center"/>
      </w:pPr>
      <w:r>
        <w:t>Original DRAFT v1  vs  Revised v2 (BNBL HQ markup)  |  For U.S. counsel review</w:t>
      </w:r>
    </w:p>
    <w:p>
      <w:r>
        <w:rPr>
          <w:i/>
          <w:color w:val="555555"/>
        </w:rPr>
        <w:t>This summary maps the five issues raised by Party A (BeNatureBioLab / BNBL HQ) to the affected articles, with the original language, the proposed revised language, and the rationale. Full text is in Shareholders_Agreement_REVISED_v2_BNBL.docx.</w:t>
      </w:r>
    </w:p>
    <w:p>
      <w:r>
        <w:rPr>
          <w:b/>
          <w:sz w:val="21"/>
        </w:rPr>
        <w:t>Issue 1 — 51% as a right, not an obligation   (Art. 2.4(a))</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“Minimum Control Threshold: Party A shall at all times retain a minimum of 51% of the total issued and outstanding equity of the Company, unless Party A expressly waives this right in writing.”</w:t>
            </w:r>
          </w:p>
        </w:tc>
      </w:tr>
      <w:tr>
        <w:tc>
          <w:tcPr>
            <w:tcW w:type="dxa" w:w="4320"/>
          </w:tcPr>
          <w:p>
            <w:r>
              <w:rPr>
                <w:b/>
                <w:color w:val="C00000"/>
              </w:rPr>
              <w:t>Revised (v2)</w:t>
            </w:r>
          </w:p>
        </w:tc>
        <w:tc>
          <w:tcPr>
            <w:tcW w:type="dxa" w:w="4320"/>
          </w:tcPr>
          <w:p>
            <w:r>
              <w:t>“Party A Right to Maintain Majority Control: Party A shall have the right, but not the obligation, to maintain at least 51%. The Company / other Parties shall not issue equity reducing Party A below 51% without Party A's prior written consent. Party A may, in its sole discretion, decline, waive, or reduce this threshold (including for strategic investment, U.S. partnership, financing, or IPO) with no obligation to maintain any minimum, and with no obligation to make additional contributions to do so.”</w:t>
            </w:r>
          </w:p>
        </w:tc>
      </w:tr>
      <w:tr>
        <w:tc>
          <w:tcPr>
            <w:tcW w:type="dxa" w:w="4320"/>
          </w:tcPr>
          <w:p>
            <w:r>
              <w:rPr>
                <w:b/>
              </w:rPr>
              <w:t>Rationale</w:t>
            </w:r>
          </w:p>
        </w:tc>
        <w:tc>
          <w:tcPr>
            <w:tcW w:type="dxa" w:w="4320"/>
          </w:tcPr>
          <w:p>
            <w:r>
              <w:t>Preserves BNBL control as a protective right while removing any reading that BNBL is bound to hold 51%; leaves room for future strategic/IPO restructuring.</w:t>
            </w:r>
          </w:p>
        </w:tc>
      </w:tr>
    </w:tbl>
    <w:p/>
    <w:p>
      <w:r>
        <w:rPr>
          <w:b/>
          <w:sz w:val="21"/>
        </w:rPr>
        <w:t>Issue 2 — Background IP licensed, not contributed   (Art. 2.1 (form of contribution) &amp; 5.1–5.2)</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2.1 form of contribution for Party A listed “[Cash / IP License / Services]”. 5.2 granted Company a “[non-exclusive/exclusive], royalty-[free/bearing]” license, terminating if A drops below 51%.</w:t>
            </w:r>
          </w:p>
        </w:tc>
      </w:tr>
      <w:tr>
        <w:tc>
          <w:tcPr>
            <w:tcW w:type="dxa" w:w="4320"/>
          </w:tcPr>
          <w:p>
            <w:r>
              <w:rPr>
                <w:b/>
                <w:color w:val="C00000"/>
              </w:rPr>
              <w:t>Revised (v2)</w:t>
            </w:r>
          </w:p>
        </w:tc>
        <w:tc>
          <w:tcPr>
            <w:tcW w:type="dxa" w:w="4320"/>
          </w:tcPr>
          <w:p>
            <w:r>
              <w:t>2.1: BNBL equity is NOT consideration for any IP assignment; contribution is cash/services only; Background IP made available solely under a separate IP License Agreement. 5.1: Background IP (HME-DDS platform, patents, process conditions, formulation know-how) not contributed/assigned. 5.2: limited, non-exclusive, non-transferable, non-sublicensable, royalty-bearing, REVOCABLE license, field/territory/term governed by a separate IP License Agreement which prevails; terminates on dissolution, on IP License termination, or on A&lt;51%.</w:t>
            </w:r>
          </w:p>
        </w:tc>
      </w:tr>
      <w:tr>
        <w:tc>
          <w:tcPr>
            <w:tcW w:type="dxa" w:w="4320"/>
          </w:tcPr>
          <w:p>
            <w:r>
              <w:rPr>
                <w:b/>
              </w:rPr>
              <w:t>Rationale</w:t>
            </w:r>
          </w:p>
        </w:tc>
        <w:tc>
          <w:tcPr>
            <w:tcW w:type="dxa" w:w="4320"/>
          </w:tcPr>
          <w:p>
            <w:r>
              <w:t>Protects BNBL HQ core assets; keeps IP off the NewCo balance sheet; aligns with separate IP License Agreement to be prepared by BNBL counsel.</w:t>
            </w:r>
          </w:p>
        </w:tc>
      </w:tr>
    </w:tbl>
    <w:p/>
    <w:p>
      <w:r>
        <w:rPr>
          <w:b/>
          <w:sz w:val="21"/>
        </w:rPr>
        <w:t>Issue 3 — Improvements / Foreground IP to BNBL   (Art. 5.3)</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“All intellectual property created … by the Company … after the Effective Date (‘Foreground IP’) shall be owned exclusively by the Company.”</w:t>
            </w:r>
          </w:p>
        </w:tc>
      </w:tr>
      <w:tr>
        <w:tc>
          <w:tcPr>
            <w:tcW w:type="dxa" w:w="4320"/>
          </w:tcPr>
          <w:p>
            <w:r>
              <w:rPr>
                <w:b/>
                <w:color w:val="C00000"/>
              </w:rPr>
              <w:t>Revised (v2)</w:t>
            </w:r>
          </w:p>
        </w:tc>
        <w:tc>
          <w:tcPr>
            <w:tcW w:type="dxa" w:w="4320"/>
          </w:tcPr>
          <w:p>
            <w:r>
              <w:t>5.3(a) Improvements: all results/data/process conditions/formulation know-how/derivatives based on, derived from, incorporating, or not developable without Background IP are owned exclusively by Party A (Company and Parties assign to A); Company gets a license within field/territory under the IP License Agreement. 5.3(b) Independent Foreground IP (truly independent of Background IP) owned by Company.</w:t>
            </w:r>
          </w:p>
        </w:tc>
      </w:tr>
      <w:tr>
        <w:tc>
          <w:tcPr>
            <w:tcW w:type="dxa" w:w="4320"/>
          </w:tcPr>
          <w:p>
            <w:r>
              <w:rPr>
                <w:b/>
              </w:rPr>
              <w:t>Rationale</w:t>
            </w:r>
          </w:p>
        </w:tc>
        <w:tc>
          <w:tcPr>
            <w:tcW w:type="dxa" w:w="4320"/>
          </w:tcPr>
          <w:p>
            <w:r>
              <w:t>Separates BNBL-derived improvements from genuinely independent NewCo IP; reduces disputes and gives a clean IP chain of title for investor due diligence.</w:t>
            </w:r>
          </w:p>
        </w:tc>
      </w:tr>
    </w:tbl>
    <w:p/>
    <w:p>
      <w:r>
        <w:rPr>
          <w:b/>
          <w:sz w:val="21"/>
        </w:rPr>
        <w:t>Issue 4 — Non-compete field/territory + carve-out   (Art. 7.1 &amp; new 7.1.1)</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“…participate in any business that competes with the Company's business within [the United States and the Republic of Korea].”</w:t>
            </w:r>
          </w:p>
        </w:tc>
      </w:tr>
      <w:tr>
        <w:tc>
          <w:tcPr>
            <w:tcW w:type="dxa" w:w="4320"/>
          </w:tcPr>
          <w:p>
            <w:r>
              <w:rPr>
                <w:b/>
                <w:color w:val="C00000"/>
              </w:rPr>
              <w:t>Revised (v2)</w:t>
            </w:r>
          </w:p>
        </w:tc>
        <w:tc>
          <w:tcPr>
            <w:tcW w:type="dxa" w:w="4320"/>
          </w:tcPr>
          <w:p>
            <w:r>
              <w:t>7.1: restriction limited to the agreed FIELD OF USE and TERRITORY only. 7.1.1 Carve-Outs: does not restrict (a) BNBL and affiliates' existing/future business, partnerships, JVs, licensing in Korea/U.S./elsewhere; (b) any BNBL business outside the field/territory; (c) BNBL's use/licensing/development of its Background IP and Improvements.</w:t>
            </w:r>
          </w:p>
        </w:tc>
      </w:tr>
      <w:tr>
        <w:tc>
          <w:tcPr>
            <w:tcW w:type="dxa" w:w="4320"/>
          </w:tcPr>
          <w:p>
            <w:r>
              <w:rPr>
                <w:b/>
              </w:rPr>
              <w:t>Rationale</w:t>
            </w:r>
          </w:p>
        </w:tc>
        <w:tc>
          <w:tcPr>
            <w:tcW w:type="dxa" w:w="4320"/>
          </w:tcPr>
          <w:p>
            <w:r>
              <w:t>Prevents the non-compete from sweeping in BNBL HQ's existing/global business and future JVs; scopes it to the NewCo's actual field.</w:t>
            </w:r>
          </w:p>
        </w:tc>
      </w:tr>
    </w:tbl>
    <w:p/>
    <w:p>
      <w:r>
        <w:rPr>
          <w:b/>
          <w:sz w:val="21"/>
        </w:rPr>
        <w:t>Issue 5a — Roles &amp; responsibilities   (Art. 4.2 &amp; new Schedule 1)</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Officers listed only as CEO/CFO/Secretary [TBD]; no defined roles.</w:t>
            </w:r>
          </w:p>
        </w:tc>
      </w:tr>
      <w:tr>
        <w:tc>
          <w:tcPr>
            <w:tcW w:type="dxa" w:w="4320"/>
          </w:tcPr>
          <w:p>
            <w:r>
              <w:rPr>
                <w:b/>
                <w:color w:val="C00000"/>
              </w:rPr>
              <w:t>Revised (v2)</w:t>
            </w:r>
          </w:p>
        </w:tc>
        <w:tc>
          <w:tcPr>
            <w:tcW w:type="dxa" w:w="4320"/>
          </w:tcPr>
          <w:p>
            <w:r>
              <w:t>4.2: contemplated titles — Jong-Suep Baek: Chairman &amp; CEO/Board Chair (HQ IP, governance, key decisions); John J. Kwon: President/Head of U.S. Operations &amp; Market Access; Seung-Rock Baek: Director (Strategic BD Lead). Roles/responsibilities/contributions/reporting/milestones detailed in Schedule 1; final titles by mutual agreement.</w:t>
            </w:r>
          </w:p>
        </w:tc>
      </w:tr>
      <w:tr>
        <w:tc>
          <w:tcPr>
            <w:tcW w:type="dxa" w:w="4320"/>
          </w:tcPr>
          <w:p>
            <w:r>
              <w:rPr>
                <w:b/>
              </w:rPr>
              <w:t>Rationale</w:t>
            </w:r>
          </w:p>
        </w:tc>
        <w:tc>
          <w:tcPr>
            <w:tcW w:type="dxa" w:w="4320"/>
          </w:tcPr>
          <w:p>
            <w:r>
              <w:t>Documents each shareholder's role and the basis for their equity — needed for Series A due diligence and U.S. operations.</w:t>
            </w:r>
          </w:p>
        </w:tc>
      </w:tr>
    </w:tbl>
    <w:p/>
    <w:p>
      <w:r>
        <w:rPr>
          <w:b/>
          <w:sz w:val="21"/>
        </w:rPr>
        <w:t>Issue 5b — Milestone-linked vesting   (Art. 3.1(d) (new))</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Vesting was purely time-based (1-yr cliff + 48-mo).</w:t>
            </w:r>
          </w:p>
        </w:tc>
      </w:tr>
      <w:tr>
        <w:tc>
          <w:tcPr>
            <w:tcW w:type="dxa" w:w="4320"/>
          </w:tcPr>
          <w:p>
            <w:r>
              <w:rPr>
                <w:b/>
                <w:color w:val="C00000"/>
              </w:rPr>
              <w:t>Revised (v2)</w:t>
            </w:r>
          </w:p>
        </w:tc>
        <w:tc>
          <w:tcPr>
            <w:tcW w:type="dxa" w:w="4320"/>
          </w:tcPr>
          <w:p>
            <w:r>
              <w:t>Adds a performance/milestone component: vesting of B and C also conditioned on active involvement and achievement of Schedule 1 milestones, assessed by the Board subject to Party A approval (4.6); optional milestone-only tranche.</w:t>
            </w:r>
          </w:p>
        </w:tc>
      </w:tr>
      <w:tr>
        <w:tc>
          <w:tcPr>
            <w:tcW w:type="dxa" w:w="4320"/>
          </w:tcPr>
          <w:p>
            <w:r>
              <w:rPr>
                <w:b/>
              </w:rPr>
              <w:t>Rationale</w:t>
            </w:r>
          </w:p>
        </w:tc>
        <w:tc>
          <w:tcPr>
            <w:tcW w:type="dxa" w:w="4320"/>
          </w:tcPr>
          <w:p>
            <w:r>
              <w:t>Ties equity to actual contribution; strengthens due-diligence narrative without removing the existing time-based structure.</w:t>
            </w:r>
          </w:p>
        </w:tc>
      </w:tr>
    </w:tbl>
    <w:p/>
    <w:p>
      <w:r>
        <w:rPr>
          <w:b/>
          <w:sz w:val="21"/>
        </w:rPr>
        <w:t>Issue 5c — BNBL HQ prior-approval rights   (Art. 4.6 (new))</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Only a 75% supermajority of equity (4.4); no HQ-specific consent.</w:t>
            </w:r>
          </w:p>
        </w:tc>
      </w:tr>
      <w:tr>
        <w:tc>
          <w:tcPr>
            <w:tcW w:type="dxa" w:w="4320"/>
          </w:tcPr>
          <w:p>
            <w:r>
              <w:rPr>
                <w:b/>
                <w:color w:val="C00000"/>
              </w:rPr>
              <w:t>Revised (v2)</w:t>
            </w:r>
          </w:p>
        </w:tc>
        <w:tc>
          <w:tcPr>
            <w:tcW w:type="dxa" w:w="4320"/>
          </w:tcPr>
          <w:p>
            <w:r>
              <w:t>4.6: regardless of title, prior written approval of Party A required for IP licenses, equity issuance/repurchase, fundraising (Series A) / IPO, exclusive arrangements, JV/M&amp;A/asset sale, and contracts above USD $[___].</w:t>
            </w:r>
          </w:p>
        </w:tc>
      </w:tr>
      <w:tr>
        <w:tc>
          <w:tcPr>
            <w:tcW w:type="dxa" w:w="4320"/>
          </w:tcPr>
          <w:p>
            <w:r>
              <w:rPr>
                <w:b/>
              </w:rPr>
              <w:t>Rationale</w:t>
            </w:r>
          </w:p>
        </w:tc>
        <w:tc>
          <w:tcPr>
            <w:tcW w:type="dxa" w:w="4320"/>
          </w:tcPr>
          <w:p>
            <w:r>
              <w:t>Establishes the control structure BNBL needs as parent for its roadmap, Series A diligence, future IPO, and possible separate U.S. partnerships.</w:t>
            </w:r>
          </w:p>
        </w:tc>
      </w:tr>
    </w:tbl>
    <w:p/>
    <w:p>
      <w:r>
        <w:rPr>
          <w:b/>
          <w:sz w:val="21"/>
        </w:rPr>
        <w:t>Open items still bracketed (to be confirmed)</w:t>
      </w:r>
    </w:p>
    <w:p>
      <w:r>
        <w:rPr>
          <w:i w:val="0"/>
        </w:rPr>
        <w:t>•  Entity type (Corporation vs LLC)</w:t>
      </w:r>
    </w:p>
    <w:p>
      <w:r>
        <w:rPr>
          <w:i w:val="0"/>
        </w:rPr>
        <w:t>•  Company name</w:t>
      </w:r>
    </w:p>
    <w:p>
      <w:r>
        <w:rPr>
          <w:i w:val="0"/>
        </w:rPr>
        <w:t>•  Capital contribution amounts (USD)</w:t>
      </w:r>
    </w:p>
    <w:p>
      <w:r>
        <w:rPr>
          <w:i w:val="0"/>
        </w:rPr>
        <w:t>•  Field of Use and Territory definitions (drive Art. 5 license, Art. 7 non-compete, Art. 1.5 purpose)</w:t>
      </w:r>
    </w:p>
    <w:p>
      <w:r>
        <w:rPr>
          <w:i w:val="0"/>
        </w:rPr>
        <w:t>•  Board size and seat allocation</w:t>
      </w:r>
    </w:p>
    <w:p>
      <w:r>
        <w:rPr>
          <w:i w:val="0"/>
        </w:rPr>
        <w:t>•  Art. 4.6(f) contract-value threshold</w:t>
      </w:r>
    </w:p>
    <w:p>
      <w:r>
        <w:rPr>
          <w:i w:val="0"/>
        </w:rPr>
        <w:t>•  Schedule 1 milestones</w:t>
      </w:r>
    </w:p>
    <w:p/>
    <w:p>
      <w:r>
        <w:rPr>
          <w:i/>
          <w:color w:val="555555"/>
        </w:rPr>
        <w:t>Draft for discussion only; not legal advice. Confirm with Nevada-licensed counsel before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